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5000" w:type="pct"/>
        <w:jc w:val="center"/>
        <w:tblLook w:val="04A0" w:firstRow="1" w:lastRow="0" w:firstColumn="1" w:lastColumn="0" w:noHBand="0" w:noVBand="1"/>
      </w:tblPr>
      <w:tblGrid>
        <w:gridCol w:w="9026"/>
      </w:tblGrid>
      <w:tr w:rsidR="00EC4B65" w14:paraId="2175F9C6" w14:textId="77777777">
        <w:trPr>
          <w:trHeight w:val="2880"/>
          <w:jc w:val="center"/>
        </w:trPr>
        <w:tc>
          <w:tcPr>
            <w:tcW w:w="5000" w:type="pct"/>
          </w:tcPr>
          <w:p w14:paraId="6EB4999C" w14:textId="73BF4B70" w:rsidR="00EC4B65" w:rsidRPr="00240243" w:rsidRDefault="00F4315C" w:rsidP="00F07122">
            <w:pPr>
              <w:pStyle w:val="NoSpacing"/>
              <w:jc w:val="center"/>
              <w:rPr>
                <w:caps/>
              </w:rPr>
            </w:pPr>
            <w:r>
              <w:rPr>
                <w:rFonts w:ascii="Cambria" w:hAnsi="Cambria"/>
                <w:caps/>
                <w:noProof/>
                <w:color w:val="2B579A"/>
                <w:shd w:val="clear" w:color="auto" w:fill="E6E6E6"/>
                <w:lang w:val="en-AU" w:eastAsia="en-AU"/>
              </w:rPr>
              <w:drawing>
                <wp:anchor distT="0" distB="0" distL="114300" distR="114300" simplePos="0" relativeHeight="251658240" behindDoc="0" locked="0" layoutInCell="1" allowOverlap="1" wp14:anchorId="59320DC3" wp14:editId="026F8458">
                  <wp:simplePos x="0" y="0"/>
                  <wp:positionH relativeFrom="margin">
                    <wp:align>center</wp:align>
                  </wp:positionH>
                  <wp:positionV relativeFrom="margin">
                    <wp:align>top</wp:align>
                  </wp:positionV>
                  <wp:extent cx="1964055" cy="747395"/>
                  <wp:effectExtent l="0" t="0" r="0" b="0"/>
                  <wp:wrapSquare wrapText="bothSides"/>
                  <wp:docPr id="73" name="Picture 73" descr="Chief Minister, Treasury and Economic Develop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hief Minister, Treasury and Economic Developmen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64055" cy="747395"/>
                          </a:xfrm>
                          <a:prstGeom prst="rect">
                            <a:avLst/>
                          </a:prstGeom>
                          <a:noFill/>
                        </pic:spPr>
                      </pic:pic>
                    </a:graphicData>
                  </a:graphic>
                  <wp14:sizeRelH relativeFrom="page">
                    <wp14:pctWidth>0</wp14:pctWidth>
                  </wp14:sizeRelH>
                  <wp14:sizeRelV relativeFrom="page">
                    <wp14:pctHeight>0</wp14:pctHeight>
                  </wp14:sizeRelV>
                </wp:anchor>
              </w:drawing>
            </w:r>
            <w:r w:rsidR="00163606">
              <w:rPr>
                <w:rFonts w:ascii="Cambria" w:hAnsi="Cambria"/>
                <w:caps/>
                <w:noProof/>
                <w:lang w:val="en-AU" w:eastAsia="en-AU"/>
              </w:rPr>
              <w:t xml:space="preserve">  </w:t>
            </w:r>
          </w:p>
        </w:tc>
      </w:tr>
      <w:tr w:rsidR="00EC4B65" w14:paraId="6A695BEF" w14:textId="77777777">
        <w:trPr>
          <w:trHeight w:val="1440"/>
          <w:jc w:val="center"/>
        </w:trPr>
        <w:tc>
          <w:tcPr>
            <w:tcW w:w="5000" w:type="pct"/>
            <w:tcBorders>
              <w:bottom w:val="single" w:sz="4" w:space="0" w:color="4F81BD"/>
            </w:tcBorders>
            <w:vAlign w:val="center"/>
          </w:tcPr>
          <w:p w14:paraId="45FBDD66" w14:textId="77777777" w:rsidR="00EC4B65" w:rsidRPr="00571D9B" w:rsidRDefault="004672C8" w:rsidP="00571D9B">
            <w:pPr>
              <w:pStyle w:val="NoSpacing"/>
              <w:rPr>
                <w:sz w:val="56"/>
                <w:szCs w:val="56"/>
              </w:rPr>
            </w:pPr>
            <w:r>
              <w:rPr>
                <w:sz w:val="56"/>
                <w:szCs w:val="56"/>
              </w:rPr>
              <w:t>Modernis</w:t>
            </w:r>
            <w:r w:rsidR="00651AEE">
              <w:rPr>
                <w:sz w:val="56"/>
                <w:szCs w:val="56"/>
              </w:rPr>
              <w:t xml:space="preserve">ing the ACT’s utility </w:t>
            </w:r>
            <w:r w:rsidR="006079B6">
              <w:rPr>
                <w:sz w:val="56"/>
                <w:szCs w:val="56"/>
              </w:rPr>
              <w:t xml:space="preserve">and energy retailer </w:t>
            </w:r>
            <w:r w:rsidR="00651AEE">
              <w:rPr>
                <w:sz w:val="56"/>
                <w:szCs w:val="56"/>
              </w:rPr>
              <w:t>laws</w:t>
            </w:r>
          </w:p>
        </w:tc>
      </w:tr>
      <w:tr w:rsidR="00EC4B65" w14:paraId="31C783E2" w14:textId="77777777">
        <w:trPr>
          <w:trHeight w:val="720"/>
          <w:jc w:val="center"/>
        </w:trPr>
        <w:tc>
          <w:tcPr>
            <w:tcW w:w="5000" w:type="pct"/>
            <w:tcBorders>
              <w:top w:val="single" w:sz="4" w:space="0" w:color="4F81BD"/>
            </w:tcBorders>
            <w:vAlign w:val="center"/>
          </w:tcPr>
          <w:p w14:paraId="66F8BD68" w14:textId="77777777" w:rsidR="00F069FB" w:rsidRDefault="00F069FB" w:rsidP="00EC4B65">
            <w:pPr>
              <w:pStyle w:val="NoSpacing"/>
              <w:jc w:val="center"/>
              <w:rPr>
                <w:sz w:val="44"/>
                <w:szCs w:val="44"/>
              </w:rPr>
            </w:pPr>
          </w:p>
          <w:p w14:paraId="6F8739F6" w14:textId="77777777" w:rsidR="00EC4B65" w:rsidRPr="00240243" w:rsidRDefault="009A0E27" w:rsidP="00EC4B65">
            <w:pPr>
              <w:pStyle w:val="NoSpacing"/>
              <w:jc w:val="center"/>
              <w:rPr>
                <w:sz w:val="44"/>
                <w:szCs w:val="44"/>
              </w:rPr>
            </w:pPr>
            <w:r>
              <w:rPr>
                <w:sz w:val="44"/>
                <w:szCs w:val="44"/>
              </w:rPr>
              <w:t>Consultation</w:t>
            </w:r>
            <w:r w:rsidR="00CF0E09">
              <w:rPr>
                <w:sz w:val="44"/>
                <w:szCs w:val="44"/>
              </w:rPr>
              <w:t xml:space="preserve"> Paper</w:t>
            </w:r>
          </w:p>
        </w:tc>
      </w:tr>
      <w:tr w:rsidR="00EC4B65" w14:paraId="09C438D0" w14:textId="77777777">
        <w:trPr>
          <w:trHeight w:val="360"/>
          <w:jc w:val="center"/>
        </w:trPr>
        <w:tc>
          <w:tcPr>
            <w:tcW w:w="5000" w:type="pct"/>
            <w:vAlign w:val="center"/>
          </w:tcPr>
          <w:p w14:paraId="4E1B5622" w14:textId="77777777" w:rsidR="00EC4B65" w:rsidRPr="00EC4B65" w:rsidRDefault="00EC4B65">
            <w:pPr>
              <w:pStyle w:val="NoSpacing"/>
              <w:jc w:val="center"/>
            </w:pPr>
          </w:p>
        </w:tc>
      </w:tr>
      <w:tr w:rsidR="00EC4B65" w14:paraId="4BA321C6" w14:textId="77777777">
        <w:trPr>
          <w:trHeight w:val="360"/>
          <w:jc w:val="center"/>
        </w:trPr>
        <w:tc>
          <w:tcPr>
            <w:tcW w:w="5000" w:type="pct"/>
            <w:vAlign w:val="center"/>
          </w:tcPr>
          <w:p w14:paraId="47C42A9A" w14:textId="77777777" w:rsidR="00EC4B65" w:rsidRPr="00EC4B65" w:rsidRDefault="00EC4B65" w:rsidP="00EC4B65">
            <w:pPr>
              <w:pStyle w:val="NoSpacing"/>
              <w:jc w:val="center"/>
              <w:rPr>
                <w:b/>
                <w:bCs/>
              </w:rPr>
            </w:pPr>
            <w:r w:rsidRPr="00EC4B65">
              <w:rPr>
                <w:b/>
                <w:bCs/>
                <w:lang w:val="en-AU"/>
              </w:rPr>
              <w:t>Chief Minister, Treasury and Economic Development Directorate</w:t>
            </w:r>
          </w:p>
        </w:tc>
      </w:tr>
      <w:tr w:rsidR="00EC4B65" w14:paraId="39C41D23" w14:textId="77777777">
        <w:trPr>
          <w:trHeight w:val="360"/>
          <w:jc w:val="center"/>
        </w:trPr>
        <w:tc>
          <w:tcPr>
            <w:tcW w:w="5000" w:type="pct"/>
            <w:vAlign w:val="center"/>
          </w:tcPr>
          <w:p w14:paraId="4C537BE0" w14:textId="77777777" w:rsidR="00EC4B65" w:rsidRPr="00EC4B65" w:rsidRDefault="00EC4B65" w:rsidP="00EC4B65">
            <w:pPr>
              <w:pStyle w:val="NoSpacing"/>
              <w:jc w:val="center"/>
              <w:rPr>
                <w:b/>
                <w:bCs/>
              </w:rPr>
            </w:pPr>
          </w:p>
        </w:tc>
      </w:tr>
    </w:tbl>
    <w:p w14:paraId="339E9C9C" w14:textId="77777777" w:rsidR="00EC4B65" w:rsidRDefault="00EC4B65"/>
    <w:tbl>
      <w:tblPr>
        <w:tblpPr w:leftFromText="187" w:rightFromText="187" w:horzAnchor="margin" w:tblpXSpec="center" w:tblpYSpec="bottom"/>
        <w:tblW w:w="5000" w:type="pct"/>
        <w:tblLook w:val="04A0" w:firstRow="1" w:lastRow="0" w:firstColumn="1" w:lastColumn="0" w:noHBand="0" w:noVBand="1"/>
      </w:tblPr>
      <w:tblGrid>
        <w:gridCol w:w="9026"/>
      </w:tblGrid>
      <w:tr w:rsidR="00EC4B65" w14:paraId="5B71EE95" w14:textId="77777777">
        <w:tc>
          <w:tcPr>
            <w:tcW w:w="5000" w:type="pct"/>
          </w:tcPr>
          <w:p w14:paraId="5C0058E9" w14:textId="77777777" w:rsidR="00EC4B65" w:rsidRDefault="00F52ECB" w:rsidP="00016F8E">
            <w:pPr>
              <w:pStyle w:val="NoSpacing"/>
              <w:jc w:val="center"/>
              <w:rPr>
                <w:b/>
              </w:rPr>
            </w:pPr>
            <w:r>
              <w:rPr>
                <w:b/>
              </w:rPr>
              <w:t xml:space="preserve">Original version published </w:t>
            </w:r>
            <w:r w:rsidR="008201EE">
              <w:rPr>
                <w:b/>
              </w:rPr>
              <w:t>September</w:t>
            </w:r>
            <w:r w:rsidR="008201EE" w:rsidRPr="00C4208C">
              <w:rPr>
                <w:b/>
              </w:rPr>
              <w:t xml:space="preserve"> </w:t>
            </w:r>
            <w:r w:rsidR="001A37E9" w:rsidRPr="00C4208C">
              <w:rPr>
                <w:b/>
              </w:rPr>
              <w:t>202</w:t>
            </w:r>
            <w:r w:rsidR="00571D9B">
              <w:rPr>
                <w:b/>
              </w:rPr>
              <w:t>3</w:t>
            </w:r>
          </w:p>
          <w:p w14:paraId="2996A80C" w14:textId="77777777" w:rsidR="006039D1" w:rsidRDefault="006039D1" w:rsidP="00016F8E">
            <w:pPr>
              <w:pStyle w:val="NoSpacing"/>
              <w:jc w:val="center"/>
              <w:rPr>
                <w:b/>
              </w:rPr>
            </w:pPr>
          </w:p>
          <w:p w14:paraId="0E32E35E" w14:textId="77777777" w:rsidR="00F52ECB" w:rsidRDefault="00C76352" w:rsidP="00016F8E">
            <w:pPr>
              <w:pStyle w:val="NoSpacing"/>
              <w:jc w:val="center"/>
              <w:rPr>
                <w:b/>
              </w:rPr>
            </w:pPr>
            <w:r>
              <w:rPr>
                <w:b/>
              </w:rPr>
              <w:t>Updated version</w:t>
            </w:r>
            <w:r w:rsidR="00F338BE">
              <w:rPr>
                <w:b/>
              </w:rPr>
              <w:t xml:space="preserve"> with amended Table 3.2</w:t>
            </w:r>
            <w:r w:rsidR="00F52ECB">
              <w:rPr>
                <w:b/>
              </w:rPr>
              <w:t xml:space="preserve"> </w:t>
            </w:r>
            <w:r>
              <w:rPr>
                <w:b/>
              </w:rPr>
              <w:t xml:space="preserve">published </w:t>
            </w:r>
            <w:r w:rsidR="00F52ECB">
              <w:rPr>
                <w:b/>
              </w:rPr>
              <w:t>November 2023</w:t>
            </w:r>
          </w:p>
          <w:p w14:paraId="14006506" w14:textId="77777777" w:rsidR="007D6DAD" w:rsidRDefault="007D6DAD" w:rsidP="007D6DAD">
            <w:pPr>
              <w:pStyle w:val="NoSpacing"/>
            </w:pPr>
          </w:p>
          <w:p w14:paraId="2D7D057F" w14:textId="77777777" w:rsidR="00DF76BD" w:rsidRDefault="007D6DAD" w:rsidP="007D6DAD">
            <w:pPr>
              <w:pStyle w:val="NoSpacing"/>
            </w:pPr>
            <w:r>
              <w:t xml:space="preserve">Table 3.2 </w:t>
            </w:r>
            <w:r w:rsidR="00045494">
              <w:t>was amended to</w:t>
            </w:r>
            <w:r w:rsidR="00DF76BD">
              <w:t>:</w:t>
            </w:r>
          </w:p>
          <w:p w14:paraId="1B02700A" w14:textId="77777777" w:rsidR="004F3E1B" w:rsidRDefault="00DF76BD" w:rsidP="00DF76BD">
            <w:pPr>
              <w:pStyle w:val="NoSpacing"/>
              <w:numPr>
                <w:ilvl w:val="0"/>
                <w:numId w:val="34"/>
              </w:numPr>
            </w:pPr>
            <w:r>
              <w:t xml:space="preserve">Omit </w:t>
            </w:r>
            <w:r w:rsidR="006D06E6">
              <w:t>incidences of non-compliance with guaranteed serv</w:t>
            </w:r>
            <w:r w:rsidR="00BD7B97">
              <w:t>ice</w:t>
            </w:r>
            <w:r w:rsidR="006D06E6">
              <w:t xml:space="preserve"> levels where </w:t>
            </w:r>
            <w:r w:rsidR="00BD7B97">
              <w:t xml:space="preserve">exemptions </w:t>
            </w:r>
            <w:r w:rsidR="0001614F">
              <w:t xml:space="preserve">from paying the rebate </w:t>
            </w:r>
            <w:r w:rsidR="009C68C8">
              <w:t xml:space="preserve">were granted. </w:t>
            </w:r>
          </w:p>
          <w:p w14:paraId="4CC3188E" w14:textId="0BD8E79C" w:rsidR="00144FFD" w:rsidRDefault="00144FFD" w:rsidP="00A11C1D">
            <w:pPr>
              <w:pStyle w:val="NoSpacing"/>
              <w:numPr>
                <w:ilvl w:val="1"/>
                <w:numId w:val="34"/>
              </w:numPr>
            </w:pPr>
            <w:r>
              <w:t>This includes 1,906 instances in 2020-21</w:t>
            </w:r>
            <w:r w:rsidR="00045494">
              <w:t xml:space="preserve"> </w:t>
            </w:r>
            <w:r>
              <w:t>where COVID-19 protocols and the January 2020 hailstorm prevented timely connections</w:t>
            </w:r>
            <w:r w:rsidR="00C76D20">
              <w:t xml:space="preserve"> and</w:t>
            </w:r>
            <w:r w:rsidR="00A11C1D">
              <w:t xml:space="preserve"> </w:t>
            </w:r>
            <w:r w:rsidR="00C4784C">
              <w:t xml:space="preserve">498 instances in </w:t>
            </w:r>
            <w:r w:rsidR="009915E2">
              <w:t>2021-22</w:t>
            </w:r>
            <w:r w:rsidR="00552DFD">
              <w:t xml:space="preserve"> due to </w:t>
            </w:r>
            <w:r w:rsidR="00A11C1D" w:rsidRPr="00A11C1D">
              <w:t>customers rescheduling appointments</w:t>
            </w:r>
            <w:r w:rsidR="00BA1C98">
              <w:t>.</w:t>
            </w:r>
          </w:p>
          <w:p w14:paraId="66EADECB" w14:textId="169C3EF1" w:rsidR="007D6DAD" w:rsidRPr="00EC4B65" w:rsidRDefault="0026561F" w:rsidP="00A11C1D">
            <w:pPr>
              <w:pStyle w:val="NoSpacing"/>
              <w:numPr>
                <w:ilvl w:val="0"/>
                <w:numId w:val="34"/>
              </w:numPr>
            </w:pPr>
            <w:r>
              <w:t>Correct the</w:t>
            </w:r>
            <w:r w:rsidR="00022006">
              <w:t xml:space="preserve"> number of instances of non-compliance with guaranteed service levels</w:t>
            </w:r>
            <w:r w:rsidR="00F62F8D">
              <w:t xml:space="preserve"> for gas</w:t>
            </w:r>
            <w:r w:rsidR="00022006">
              <w:t xml:space="preserve"> in 2020-</w:t>
            </w:r>
            <w:r>
              <w:t>21.</w:t>
            </w:r>
            <w:r w:rsidR="00022006">
              <w:t xml:space="preserve"> </w:t>
            </w:r>
          </w:p>
        </w:tc>
      </w:tr>
    </w:tbl>
    <w:p w14:paraId="3CDAA5FE" w14:textId="77777777" w:rsidR="00EC4B65" w:rsidRDefault="00EC4B65"/>
    <w:p w14:paraId="2B1ECF47" w14:textId="77777777" w:rsidR="00BD47E2" w:rsidRDefault="00BD47E2" w:rsidP="00BD47E2">
      <w:pPr>
        <w:pStyle w:val="TOCHeading"/>
        <w:tabs>
          <w:tab w:val="left" w:pos="5916"/>
        </w:tabs>
        <w:spacing w:after="240"/>
      </w:pPr>
      <w:r>
        <w:tab/>
      </w:r>
    </w:p>
    <w:p w14:paraId="58028DA4" w14:textId="77777777" w:rsidR="000655A9" w:rsidRDefault="00EC4B65" w:rsidP="00B124A2">
      <w:pPr>
        <w:pStyle w:val="TOCHeading"/>
        <w:spacing w:after="240"/>
      </w:pPr>
      <w:r w:rsidRPr="00BD47E2">
        <w:br w:type="page"/>
      </w:r>
      <w:bookmarkStart w:id="0" w:name="_Toc438044472"/>
      <w:bookmarkStart w:id="1" w:name="_Toc438049516"/>
      <w:bookmarkStart w:id="2" w:name="_Toc438051551"/>
      <w:bookmarkStart w:id="3" w:name="_Toc62132880"/>
      <w:bookmarkStart w:id="4" w:name="_Toc62208245"/>
      <w:bookmarkStart w:id="5" w:name="_Toc64388880"/>
      <w:r w:rsidR="000655A9">
        <w:lastRenderedPageBreak/>
        <w:t>Table of Contents</w:t>
      </w:r>
    </w:p>
    <w:p w14:paraId="6CA39D8A" w14:textId="11E0887E" w:rsidR="00AF6EF3" w:rsidRDefault="000D0740">
      <w:pPr>
        <w:pStyle w:val="TOC1"/>
        <w:rPr>
          <w:rFonts w:asciiTheme="minorHAnsi" w:eastAsiaTheme="minorEastAsia" w:hAnsiTheme="minorHAnsi" w:cstheme="minorBidi"/>
          <w:noProof/>
          <w:lang w:val="en-AU" w:eastAsia="en-AU"/>
        </w:rPr>
      </w:pPr>
      <w:r>
        <w:rPr>
          <w:color w:val="2B579A"/>
          <w:shd w:val="clear" w:color="auto" w:fill="E6E6E6"/>
        </w:rPr>
        <w:fldChar w:fldCharType="begin"/>
      </w:r>
      <w:r>
        <w:instrText xml:space="preserve"> TOC \o "1-3" \h \z \u </w:instrText>
      </w:r>
      <w:r>
        <w:rPr>
          <w:color w:val="2B579A"/>
          <w:shd w:val="clear" w:color="auto" w:fill="E6E6E6"/>
        </w:rPr>
        <w:fldChar w:fldCharType="separate"/>
      </w:r>
      <w:hyperlink w:anchor="_Toc146284756" w:history="1">
        <w:r w:rsidR="00AF6EF3" w:rsidRPr="00101112">
          <w:rPr>
            <w:rStyle w:val="Hyperlink"/>
            <w:noProof/>
          </w:rPr>
          <w:t>Definitions / Acronyms</w:t>
        </w:r>
        <w:r w:rsidR="00AF6EF3">
          <w:rPr>
            <w:noProof/>
            <w:webHidden/>
          </w:rPr>
          <w:tab/>
        </w:r>
        <w:r w:rsidR="00AF6EF3">
          <w:rPr>
            <w:noProof/>
            <w:webHidden/>
          </w:rPr>
          <w:fldChar w:fldCharType="begin"/>
        </w:r>
        <w:r w:rsidR="00AF6EF3">
          <w:rPr>
            <w:noProof/>
            <w:webHidden/>
          </w:rPr>
          <w:instrText xml:space="preserve"> PAGEREF _Toc146284756 \h </w:instrText>
        </w:r>
        <w:r w:rsidR="00AF6EF3">
          <w:rPr>
            <w:noProof/>
            <w:webHidden/>
          </w:rPr>
        </w:r>
        <w:r w:rsidR="00AF6EF3">
          <w:rPr>
            <w:noProof/>
            <w:webHidden/>
          </w:rPr>
          <w:fldChar w:fldCharType="separate"/>
        </w:r>
        <w:r w:rsidR="006A4647">
          <w:rPr>
            <w:noProof/>
            <w:webHidden/>
          </w:rPr>
          <w:t>3</w:t>
        </w:r>
        <w:r w:rsidR="00AF6EF3">
          <w:rPr>
            <w:noProof/>
            <w:webHidden/>
          </w:rPr>
          <w:fldChar w:fldCharType="end"/>
        </w:r>
      </w:hyperlink>
    </w:p>
    <w:p w14:paraId="5BDFB1A4" w14:textId="7D00F542" w:rsidR="00AF6EF3" w:rsidRDefault="00A11C1D">
      <w:pPr>
        <w:pStyle w:val="TOC1"/>
        <w:rPr>
          <w:rFonts w:asciiTheme="minorHAnsi" w:eastAsiaTheme="minorEastAsia" w:hAnsiTheme="minorHAnsi" w:cstheme="minorBidi"/>
          <w:noProof/>
          <w:lang w:val="en-AU" w:eastAsia="en-AU"/>
        </w:rPr>
      </w:pPr>
      <w:hyperlink w:anchor="_Toc146284757" w:history="1">
        <w:r w:rsidR="00AF6EF3" w:rsidRPr="00101112">
          <w:rPr>
            <w:rStyle w:val="Hyperlink"/>
            <w:noProof/>
          </w:rPr>
          <w:t>1. Introduction</w:t>
        </w:r>
        <w:r w:rsidR="00AF6EF3">
          <w:rPr>
            <w:noProof/>
            <w:webHidden/>
          </w:rPr>
          <w:tab/>
        </w:r>
        <w:r w:rsidR="00AF6EF3">
          <w:rPr>
            <w:noProof/>
            <w:webHidden/>
          </w:rPr>
          <w:fldChar w:fldCharType="begin"/>
        </w:r>
        <w:r w:rsidR="00AF6EF3">
          <w:rPr>
            <w:noProof/>
            <w:webHidden/>
          </w:rPr>
          <w:instrText xml:space="preserve"> PAGEREF _Toc146284757 \h </w:instrText>
        </w:r>
        <w:r w:rsidR="00AF6EF3">
          <w:rPr>
            <w:noProof/>
            <w:webHidden/>
          </w:rPr>
        </w:r>
        <w:r w:rsidR="00AF6EF3">
          <w:rPr>
            <w:noProof/>
            <w:webHidden/>
          </w:rPr>
          <w:fldChar w:fldCharType="separate"/>
        </w:r>
        <w:r w:rsidR="006A4647">
          <w:rPr>
            <w:noProof/>
            <w:webHidden/>
          </w:rPr>
          <w:t>4</w:t>
        </w:r>
        <w:r w:rsidR="00AF6EF3">
          <w:rPr>
            <w:noProof/>
            <w:webHidden/>
          </w:rPr>
          <w:fldChar w:fldCharType="end"/>
        </w:r>
      </w:hyperlink>
    </w:p>
    <w:p w14:paraId="2FAEB9D2" w14:textId="7DE966F0" w:rsidR="00AF6EF3" w:rsidRDefault="00A11C1D">
      <w:pPr>
        <w:pStyle w:val="TOC1"/>
        <w:rPr>
          <w:rFonts w:asciiTheme="minorHAnsi" w:eastAsiaTheme="minorEastAsia" w:hAnsiTheme="minorHAnsi" w:cstheme="minorBidi"/>
          <w:noProof/>
          <w:lang w:val="en-AU" w:eastAsia="en-AU"/>
        </w:rPr>
      </w:pPr>
      <w:hyperlink w:anchor="_Toc146284758" w:history="1">
        <w:r w:rsidR="00AF6EF3" w:rsidRPr="00101112">
          <w:rPr>
            <w:rStyle w:val="Hyperlink"/>
            <w:noProof/>
          </w:rPr>
          <w:t>2. Key information</w:t>
        </w:r>
        <w:r w:rsidR="00AF6EF3">
          <w:rPr>
            <w:noProof/>
            <w:webHidden/>
          </w:rPr>
          <w:tab/>
        </w:r>
        <w:r w:rsidR="00AF6EF3">
          <w:rPr>
            <w:noProof/>
            <w:webHidden/>
          </w:rPr>
          <w:fldChar w:fldCharType="begin"/>
        </w:r>
        <w:r w:rsidR="00AF6EF3">
          <w:rPr>
            <w:noProof/>
            <w:webHidden/>
          </w:rPr>
          <w:instrText xml:space="preserve"> PAGEREF _Toc146284758 \h </w:instrText>
        </w:r>
        <w:r w:rsidR="00AF6EF3">
          <w:rPr>
            <w:noProof/>
            <w:webHidden/>
          </w:rPr>
        </w:r>
        <w:r w:rsidR="00AF6EF3">
          <w:rPr>
            <w:noProof/>
            <w:webHidden/>
          </w:rPr>
          <w:fldChar w:fldCharType="separate"/>
        </w:r>
        <w:r w:rsidR="006A4647">
          <w:rPr>
            <w:noProof/>
            <w:webHidden/>
          </w:rPr>
          <w:t>6</w:t>
        </w:r>
        <w:r w:rsidR="00AF6EF3">
          <w:rPr>
            <w:noProof/>
            <w:webHidden/>
          </w:rPr>
          <w:fldChar w:fldCharType="end"/>
        </w:r>
      </w:hyperlink>
    </w:p>
    <w:p w14:paraId="5D1B6D93" w14:textId="05A0505B" w:rsidR="00AF6EF3" w:rsidRDefault="00A11C1D" w:rsidP="00A11C1D">
      <w:pPr>
        <w:pStyle w:val="TOC2"/>
        <w:rPr>
          <w:rFonts w:asciiTheme="minorHAnsi" w:eastAsiaTheme="minorEastAsia" w:hAnsiTheme="minorHAnsi" w:cstheme="minorBidi"/>
          <w:noProof/>
          <w:lang w:val="en-AU" w:eastAsia="en-AU"/>
        </w:rPr>
      </w:pPr>
      <w:hyperlink w:anchor="_Toc146284759" w:history="1">
        <w:r w:rsidR="00AF6EF3" w:rsidRPr="00101112">
          <w:rPr>
            <w:rStyle w:val="Hyperlink"/>
            <w:noProof/>
          </w:rPr>
          <w:t>Key Dates</w:t>
        </w:r>
        <w:r w:rsidR="00AF6EF3">
          <w:rPr>
            <w:noProof/>
            <w:webHidden/>
          </w:rPr>
          <w:tab/>
        </w:r>
        <w:r w:rsidR="00AF6EF3">
          <w:rPr>
            <w:noProof/>
            <w:webHidden/>
          </w:rPr>
          <w:fldChar w:fldCharType="begin"/>
        </w:r>
        <w:r w:rsidR="00AF6EF3">
          <w:rPr>
            <w:noProof/>
            <w:webHidden/>
          </w:rPr>
          <w:instrText xml:space="preserve"> PAGEREF _Toc146284759 \h </w:instrText>
        </w:r>
        <w:r w:rsidR="00AF6EF3">
          <w:rPr>
            <w:noProof/>
            <w:webHidden/>
          </w:rPr>
        </w:r>
        <w:r w:rsidR="00AF6EF3">
          <w:rPr>
            <w:noProof/>
            <w:webHidden/>
          </w:rPr>
          <w:fldChar w:fldCharType="separate"/>
        </w:r>
        <w:r w:rsidR="006A4647">
          <w:rPr>
            <w:noProof/>
            <w:webHidden/>
          </w:rPr>
          <w:t>6</w:t>
        </w:r>
        <w:r w:rsidR="00AF6EF3">
          <w:rPr>
            <w:noProof/>
            <w:webHidden/>
          </w:rPr>
          <w:fldChar w:fldCharType="end"/>
        </w:r>
      </w:hyperlink>
    </w:p>
    <w:p w14:paraId="00479AC4" w14:textId="50547F3D" w:rsidR="00AF6EF3" w:rsidRDefault="00A11C1D" w:rsidP="00A11C1D">
      <w:pPr>
        <w:pStyle w:val="TOC2"/>
        <w:rPr>
          <w:rFonts w:asciiTheme="minorHAnsi" w:eastAsiaTheme="minorEastAsia" w:hAnsiTheme="minorHAnsi" w:cstheme="minorBidi"/>
          <w:noProof/>
          <w:lang w:val="en-AU" w:eastAsia="en-AU"/>
        </w:rPr>
      </w:pPr>
      <w:hyperlink w:anchor="_Toc146284760" w:history="1">
        <w:r w:rsidR="00AF6EF3" w:rsidRPr="00101112">
          <w:rPr>
            <w:rStyle w:val="Hyperlink"/>
            <w:noProof/>
          </w:rPr>
          <w:t>Contacts</w:t>
        </w:r>
        <w:r w:rsidR="00AF6EF3">
          <w:rPr>
            <w:noProof/>
            <w:webHidden/>
          </w:rPr>
          <w:tab/>
        </w:r>
        <w:r w:rsidR="00AF6EF3">
          <w:rPr>
            <w:noProof/>
            <w:webHidden/>
          </w:rPr>
          <w:fldChar w:fldCharType="begin"/>
        </w:r>
        <w:r w:rsidR="00AF6EF3">
          <w:rPr>
            <w:noProof/>
            <w:webHidden/>
          </w:rPr>
          <w:instrText xml:space="preserve"> PAGEREF _Toc146284760 \h </w:instrText>
        </w:r>
        <w:r w:rsidR="00AF6EF3">
          <w:rPr>
            <w:noProof/>
            <w:webHidden/>
          </w:rPr>
        </w:r>
        <w:r w:rsidR="00AF6EF3">
          <w:rPr>
            <w:noProof/>
            <w:webHidden/>
          </w:rPr>
          <w:fldChar w:fldCharType="separate"/>
        </w:r>
        <w:r w:rsidR="006A4647">
          <w:rPr>
            <w:noProof/>
            <w:webHidden/>
          </w:rPr>
          <w:t>6</w:t>
        </w:r>
        <w:r w:rsidR="00AF6EF3">
          <w:rPr>
            <w:noProof/>
            <w:webHidden/>
          </w:rPr>
          <w:fldChar w:fldCharType="end"/>
        </w:r>
      </w:hyperlink>
    </w:p>
    <w:p w14:paraId="5608F611" w14:textId="69745EB5" w:rsidR="00AF6EF3" w:rsidRDefault="00A11C1D" w:rsidP="00A11C1D">
      <w:pPr>
        <w:pStyle w:val="TOC2"/>
        <w:rPr>
          <w:rFonts w:asciiTheme="minorHAnsi" w:eastAsiaTheme="minorEastAsia" w:hAnsiTheme="minorHAnsi" w:cstheme="minorBidi"/>
          <w:noProof/>
          <w:lang w:val="en-AU" w:eastAsia="en-AU"/>
        </w:rPr>
      </w:pPr>
      <w:hyperlink w:anchor="_Toc146284761" w:history="1">
        <w:r w:rsidR="00AF6EF3" w:rsidRPr="00101112">
          <w:rPr>
            <w:rStyle w:val="Hyperlink"/>
            <w:noProof/>
          </w:rPr>
          <w:t>How to make a submission</w:t>
        </w:r>
        <w:r w:rsidR="00AF6EF3">
          <w:rPr>
            <w:noProof/>
            <w:webHidden/>
          </w:rPr>
          <w:tab/>
        </w:r>
        <w:r w:rsidR="00AF6EF3">
          <w:rPr>
            <w:noProof/>
            <w:webHidden/>
          </w:rPr>
          <w:fldChar w:fldCharType="begin"/>
        </w:r>
        <w:r w:rsidR="00AF6EF3">
          <w:rPr>
            <w:noProof/>
            <w:webHidden/>
          </w:rPr>
          <w:instrText xml:space="preserve"> PAGEREF _Toc146284761 \h </w:instrText>
        </w:r>
        <w:r w:rsidR="00AF6EF3">
          <w:rPr>
            <w:noProof/>
            <w:webHidden/>
          </w:rPr>
        </w:r>
        <w:r w:rsidR="00AF6EF3">
          <w:rPr>
            <w:noProof/>
            <w:webHidden/>
          </w:rPr>
          <w:fldChar w:fldCharType="separate"/>
        </w:r>
        <w:r w:rsidR="006A4647">
          <w:rPr>
            <w:noProof/>
            <w:webHidden/>
          </w:rPr>
          <w:t>6</w:t>
        </w:r>
        <w:r w:rsidR="00AF6EF3">
          <w:rPr>
            <w:noProof/>
            <w:webHidden/>
          </w:rPr>
          <w:fldChar w:fldCharType="end"/>
        </w:r>
      </w:hyperlink>
    </w:p>
    <w:p w14:paraId="30D4D21B" w14:textId="41290775" w:rsidR="00AF6EF3" w:rsidRDefault="00A11C1D">
      <w:pPr>
        <w:pStyle w:val="TOC1"/>
        <w:rPr>
          <w:rFonts w:asciiTheme="minorHAnsi" w:eastAsiaTheme="minorEastAsia" w:hAnsiTheme="minorHAnsi" w:cstheme="minorBidi"/>
          <w:noProof/>
          <w:lang w:val="en-AU" w:eastAsia="en-AU"/>
        </w:rPr>
      </w:pPr>
      <w:hyperlink w:anchor="_Toc146284762" w:history="1">
        <w:r w:rsidR="00AF6EF3" w:rsidRPr="00101112">
          <w:rPr>
            <w:rStyle w:val="Hyperlink"/>
            <w:noProof/>
          </w:rPr>
          <w:t>3. Background</w:t>
        </w:r>
        <w:r w:rsidR="00AF6EF3">
          <w:rPr>
            <w:noProof/>
            <w:webHidden/>
          </w:rPr>
          <w:tab/>
        </w:r>
        <w:r w:rsidR="00AF6EF3">
          <w:rPr>
            <w:noProof/>
            <w:webHidden/>
          </w:rPr>
          <w:fldChar w:fldCharType="begin"/>
        </w:r>
        <w:r w:rsidR="00AF6EF3">
          <w:rPr>
            <w:noProof/>
            <w:webHidden/>
          </w:rPr>
          <w:instrText xml:space="preserve"> PAGEREF _Toc146284762 \h </w:instrText>
        </w:r>
        <w:r w:rsidR="00AF6EF3">
          <w:rPr>
            <w:noProof/>
            <w:webHidden/>
          </w:rPr>
        </w:r>
        <w:r w:rsidR="00AF6EF3">
          <w:rPr>
            <w:noProof/>
            <w:webHidden/>
          </w:rPr>
          <w:fldChar w:fldCharType="separate"/>
        </w:r>
        <w:r w:rsidR="006A4647">
          <w:rPr>
            <w:noProof/>
            <w:webHidden/>
          </w:rPr>
          <w:t>7</w:t>
        </w:r>
        <w:r w:rsidR="00AF6EF3">
          <w:rPr>
            <w:noProof/>
            <w:webHidden/>
          </w:rPr>
          <w:fldChar w:fldCharType="end"/>
        </w:r>
      </w:hyperlink>
    </w:p>
    <w:p w14:paraId="6F8D1532" w14:textId="2428199C" w:rsidR="00AF6EF3" w:rsidRDefault="00A11C1D" w:rsidP="00A11C1D">
      <w:pPr>
        <w:pStyle w:val="TOC2"/>
        <w:rPr>
          <w:rFonts w:asciiTheme="minorHAnsi" w:eastAsiaTheme="minorEastAsia" w:hAnsiTheme="minorHAnsi" w:cstheme="minorBidi"/>
          <w:noProof/>
          <w:lang w:val="en-AU" w:eastAsia="en-AU"/>
        </w:rPr>
      </w:pPr>
      <w:hyperlink w:anchor="_Toc146284763" w:history="1">
        <w:r w:rsidR="00AF6EF3" w:rsidRPr="00101112">
          <w:rPr>
            <w:rStyle w:val="Hyperlink"/>
            <w:noProof/>
          </w:rPr>
          <w:t>Regulating utilities and energy retailers</w:t>
        </w:r>
        <w:r w:rsidR="00AF6EF3">
          <w:rPr>
            <w:noProof/>
            <w:webHidden/>
          </w:rPr>
          <w:tab/>
        </w:r>
        <w:r w:rsidR="00AF6EF3">
          <w:rPr>
            <w:noProof/>
            <w:webHidden/>
          </w:rPr>
          <w:fldChar w:fldCharType="begin"/>
        </w:r>
        <w:r w:rsidR="00AF6EF3">
          <w:rPr>
            <w:noProof/>
            <w:webHidden/>
          </w:rPr>
          <w:instrText xml:space="preserve"> PAGEREF _Toc146284763 \h </w:instrText>
        </w:r>
        <w:r w:rsidR="00AF6EF3">
          <w:rPr>
            <w:noProof/>
            <w:webHidden/>
          </w:rPr>
        </w:r>
        <w:r w:rsidR="00AF6EF3">
          <w:rPr>
            <w:noProof/>
            <w:webHidden/>
          </w:rPr>
          <w:fldChar w:fldCharType="separate"/>
        </w:r>
        <w:r w:rsidR="006A4647">
          <w:rPr>
            <w:noProof/>
            <w:webHidden/>
          </w:rPr>
          <w:t>7</w:t>
        </w:r>
        <w:r w:rsidR="00AF6EF3">
          <w:rPr>
            <w:noProof/>
            <w:webHidden/>
          </w:rPr>
          <w:fldChar w:fldCharType="end"/>
        </w:r>
      </w:hyperlink>
    </w:p>
    <w:p w14:paraId="127312A2" w14:textId="77D41FF0" w:rsidR="00AF6EF3" w:rsidRDefault="00A11C1D" w:rsidP="00A11C1D">
      <w:pPr>
        <w:pStyle w:val="TOC2"/>
        <w:rPr>
          <w:rFonts w:asciiTheme="minorHAnsi" w:eastAsiaTheme="minorEastAsia" w:hAnsiTheme="minorHAnsi" w:cstheme="minorBidi"/>
          <w:noProof/>
          <w:lang w:val="en-AU" w:eastAsia="en-AU"/>
        </w:rPr>
      </w:pPr>
      <w:hyperlink w:anchor="_Toc146284764" w:history="1">
        <w:r w:rsidR="00AF6EF3" w:rsidRPr="00101112">
          <w:rPr>
            <w:rStyle w:val="Hyperlink"/>
            <w:noProof/>
          </w:rPr>
          <w:t>Who is regulated under the Utilities Act?</w:t>
        </w:r>
        <w:r w:rsidR="00AF6EF3">
          <w:rPr>
            <w:noProof/>
            <w:webHidden/>
          </w:rPr>
          <w:tab/>
        </w:r>
        <w:r w:rsidR="00AF6EF3">
          <w:rPr>
            <w:noProof/>
            <w:webHidden/>
          </w:rPr>
          <w:fldChar w:fldCharType="begin"/>
        </w:r>
        <w:r w:rsidR="00AF6EF3">
          <w:rPr>
            <w:noProof/>
            <w:webHidden/>
          </w:rPr>
          <w:instrText xml:space="preserve"> PAGEREF _Toc146284764 \h </w:instrText>
        </w:r>
        <w:r w:rsidR="00AF6EF3">
          <w:rPr>
            <w:noProof/>
            <w:webHidden/>
          </w:rPr>
        </w:r>
        <w:r w:rsidR="00AF6EF3">
          <w:rPr>
            <w:noProof/>
            <w:webHidden/>
          </w:rPr>
          <w:fldChar w:fldCharType="separate"/>
        </w:r>
        <w:r w:rsidR="006A4647">
          <w:rPr>
            <w:noProof/>
            <w:webHidden/>
          </w:rPr>
          <w:t>7</w:t>
        </w:r>
        <w:r w:rsidR="00AF6EF3">
          <w:rPr>
            <w:noProof/>
            <w:webHidden/>
          </w:rPr>
          <w:fldChar w:fldCharType="end"/>
        </w:r>
      </w:hyperlink>
    </w:p>
    <w:p w14:paraId="639E80E1" w14:textId="116966CE" w:rsidR="00AF6EF3" w:rsidRDefault="00A11C1D" w:rsidP="00A11C1D">
      <w:pPr>
        <w:pStyle w:val="TOC2"/>
        <w:rPr>
          <w:rFonts w:asciiTheme="minorHAnsi" w:eastAsiaTheme="minorEastAsia" w:hAnsiTheme="minorHAnsi" w:cstheme="minorBidi"/>
          <w:noProof/>
          <w:lang w:val="en-AU" w:eastAsia="en-AU"/>
        </w:rPr>
      </w:pPr>
      <w:hyperlink w:anchor="_Toc146284765" w:history="1">
        <w:r w:rsidR="00AF6EF3" w:rsidRPr="00101112">
          <w:rPr>
            <w:rStyle w:val="Hyperlink"/>
            <w:noProof/>
          </w:rPr>
          <w:t>What are the current obligations of energy and water utilities?</w:t>
        </w:r>
        <w:r w:rsidR="00AF6EF3">
          <w:rPr>
            <w:noProof/>
            <w:webHidden/>
          </w:rPr>
          <w:tab/>
        </w:r>
        <w:r w:rsidR="00AF6EF3">
          <w:rPr>
            <w:noProof/>
            <w:webHidden/>
          </w:rPr>
          <w:fldChar w:fldCharType="begin"/>
        </w:r>
        <w:r w:rsidR="00AF6EF3">
          <w:rPr>
            <w:noProof/>
            <w:webHidden/>
          </w:rPr>
          <w:instrText xml:space="preserve"> PAGEREF _Toc146284765 \h </w:instrText>
        </w:r>
        <w:r w:rsidR="00AF6EF3">
          <w:rPr>
            <w:noProof/>
            <w:webHidden/>
          </w:rPr>
        </w:r>
        <w:r w:rsidR="00AF6EF3">
          <w:rPr>
            <w:noProof/>
            <w:webHidden/>
          </w:rPr>
          <w:fldChar w:fldCharType="separate"/>
        </w:r>
        <w:r w:rsidR="006A4647">
          <w:rPr>
            <w:noProof/>
            <w:webHidden/>
          </w:rPr>
          <w:t>7</w:t>
        </w:r>
        <w:r w:rsidR="00AF6EF3">
          <w:rPr>
            <w:noProof/>
            <w:webHidden/>
          </w:rPr>
          <w:fldChar w:fldCharType="end"/>
        </w:r>
      </w:hyperlink>
    </w:p>
    <w:p w14:paraId="52C32223" w14:textId="06409EE7" w:rsidR="00AF6EF3" w:rsidRDefault="00A11C1D" w:rsidP="00A11C1D">
      <w:pPr>
        <w:pStyle w:val="TOC2"/>
        <w:rPr>
          <w:rFonts w:asciiTheme="minorHAnsi" w:eastAsiaTheme="minorEastAsia" w:hAnsiTheme="minorHAnsi" w:cstheme="minorBidi"/>
          <w:noProof/>
          <w:lang w:val="en-AU" w:eastAsia="en-AU"/>
        </w:rPr>
      </w:pPr>
      <w:hyperlink w:anchor="_Toc146284766" w:history="1">
        <w:r w:rsidR="00AF6EF3" w:rsidRPr="00101112">
          <w:rPr>
            <w:rStyle w:val="Hyperlink"/>
            <w:noProof/>
          </w:rPr>
          <w:t>What happens when obligations are not met?</w:t>
        </w:r>
        <w:r w:rsidR="00AF6EF3">
          <w:rPr>
            <w:noProof/>
            <w:webHidden/>
          </w:rPr>
          <w:tab/>
        </w:r>
        <w:r w:rsidR="00AF6EF3">
          <w:rPr>
            <w:noProof/>
            <w:webHidden/>
          </w:rPr>
          <w:fldChar w:fldCharType="begin"/>
        </w:r>
        <w:r w:rsidR="00AF6EF3">
          <w:rPr>
            <w:noProof/>
            <w:webHidden/>
          </w:rPr>
          <w:instrText xml:space="preserve"> PAGEREF _Toc146284766 \h </w:instrText>
        </w:r>
        <w:r w:rsidR="00AF6EF3">
          <w:rPr>
            <w:noProof/>
            <w:webHidden/>
          </w:rPr>
        </w:r>
        <w:r w:rsidR="00AF6EF3">
          <w:rPr>
            <w:noProof/>
            <w:webHidden/>
          </w:rPr>
          <w:fldChar w:fldCharType="separate"/>
        </w:r>
        <w:r w:rsidR="006A4647">
          <w:rPr>
            <w:noProof/>
            <w:webHidden/>
          </w:rPr>
          <w:t>8</w:t>
        </w:r>
        <w:r w:rsidR="00AF6EF3">
          <w:rPr>
            <w:noProof/>
            <w:webHidden/>
          </w:rPr>
          <w:fldChar w:fldCharType="end"/>
        </w:r>
      </w:hyperlink>
    </w:p>
    <w:p w14:paraId="23016FDC" w14:textId="0318B3D2" w:rsidR="00AF6EF3" w:rsidRDefault="00A11C1D" w:rsidP="00A11C1D">
      <w:pPr>
        <w:pStyle w:val="TOC2"/>
        <w:rPr>
          <w:rFonts w:asciiTheme="minorHAnsi" w:eastAsiaTheme="minorEastAsia" w:hAnsiTheme="minorHAnsi" w:cstheme="minorBidi"/>
          <w:noProof/>
          <w:lang w:val="en-AU" w:eastAsia="en-AU"/>
        </w:rPr>
      </w:pPr>
      <w:hyperlink w:anchor="_Toc146284767" w:history="1">
        <w:r w:rsidR="00AF6EF3" w:rsidRPr="00101112">
          <w:rPr>
            <w:rStyle w:val="Hyperlink"/>
            <w:noProof/>
          </w:rPr>
          <w:t>Cross-jurisdictional approaches to compliance</w:t>
        </w:r>
        <w:r w:rsidR="00AF6EF3">
          <w:rPr>
            <w:noProof/>
            <w:webHidden/>
          </w:rPr>
          <w:tab/>
        </w:r>
        <w:r w:rsidR="00AF6EF3">
          <w:rPr>
            <w:noProof/>
            <w:webHidden/>
          </w:rPr>
          <w:fldChar w:fldCharType="begin"/>
        </w:r>
        <w:r w:rsidR="00AF6EF3">
          <w:rPr>
            <w:noProof/>
            <w:webHidden/>
          </w:rPr>
          <w:instrText xml:space="preserve"> PAGEREF _Toc146284767 \h </w:instrText>
        </w:r>
        <w:r w:rsidR="00AF6EF3">
          <w:rPr>
            <w:noProof/>
            <w:webHidden/>
          </w:rPr>
        </w:r>
        <w:r w:rsidR="00AF6EF3">
          <w:rPr>
            <w:noProof/>
            <w:webHidden/>
          </w:rPr>
          <w:fldChar w:fldCharType="separate"/>
        </w:r>
        <w:r w:rsidR="006A4647">
          <w:rPr>
            <w:noProof/>
            <w:webHidden/>
          </w:rPr>
          <w:t>10</w:t>
        </w:r>
        <w:r w:rsidR="00AF6EF3">
          <w:rPr>
            <w:noProof/>
            <w:webHidden/>
          </w:rPr>
          <w:fldChar w:fldCharType="end"/>
        </w:r>
      </w:hyperlink>
    </w:p>
    <w:p w14:paraId="092D07EB" w14:textId="40C453A3" w:rsidR="00AF6EF3" w:rsidRDefault="00A11C1D">
      <w:pPr>
        <w:pStyle w:val="TOC1"/>
        <w:rPr>
          <w:rFonts w:asciiTheme="minorHAnsi" w:eastAsiaTheme="minorEastAsia" w:hAnsiTheme="minorHAnsi" w:cstheme="minorBidi"/>
          <w:noProof/>
          <w:lang w:val="en-AU" w:eastAsia="en-AU"/>
        </w:rPr>
      </w:pPr>
      <w:hyperlink w:anchor="_Toc146284768" w:history="1">
        <w:r w:rsidR="00AF6EF3" w:rsidRPr="00101112">
          <w:rPr>
            <w:rStyle w:val="Hyperlink"/>
            <w:noProof/>
          </w:rPr>
          <w:t>4. The proposed changes under consideration</w:t>
        </w:r>
        <w:r w:rsidR="00AF6EF3">
          <w:rPr>
            <w:noProof/>
            <w:webHidden/>
          </w:rPr>
          <w:tab/>
        </w:r>
        <w:r w:rsidR="00AF6EF3">
          <w:rPr>
            <w:noProof/>
            <w:webHidden/>
          </w:rPr>
          <w:fldChar w:fldCharType="begin"/>
        </w:r>
        <w:r w:rsidR="00AF6EF3">
          <w:rPr>
            <w:noProof/>
            <w:webHidden/>
          </w:rPr>
          <w:instrText xml:space="preserve"> PAGEREF _Toc146284768 \h </w:instrText>
        </w:r>
        <w:r w:rsidR="00AF6EF3">
          <w:rPr>
            <w:noProof/>
            <w:webHidden/>
          </w:rPr>
        </w:r>
        <w:r w:rsidR="00AF6EF3">
          <w:rPr>
            <w:noProof/>
            <w:webHidden/>
          </w:rPr>
          <w:fldChar w:fldCharType="separate"/>
        </w:r>
        <w:r w:rsidR="006A4647">
          <w:rPr>
            <w:noProof/>
            <w:webHidden/>
          </w:rPr>
          <w:t>12</w:t>
        </w:r>
        <w:r w:rsidR="00AF6EF3">
          <w:rPr>
            <w:noProof/>
            <w:webHidden/>
          </w:rPr>
          <w:fldChar w:fldCharType="end"/>
        </w:r>
      </w:hyperlink>
    </w:p>
    <w:p w14:paraId="1F95704E" w14:textId="361A5D15" w:rsidR="00AF6EF3" w:rsidRDefault="00A11C1D" w:rsidP="00A11C1D">
      <w:pPr>
        <w:pStyle w:val="TOC2"/>
        <w:rPr>
          <w:rFonts w:asciiTheme="minorHAnsi" w:eastAsiaTheme="minorEastAsia" w:hAnsiTheme="minorHAnsi" w:cstheme="minorBidi"/>
          <w:noProof/>
          <w:lang w:val="en-AU" w:eastAsia="en-AU"/>
        </w:rPr>
      </w:pPr>
      <w:hyperlink w:anchor="_Toc146284769" w:history="1">
        <w:r w:rsidR="00AF6EF3" w:rsidRPr="00101112">
          <w:rPr>
            <w:rStyle w:val="Hyperlink"/>
            <w:noProof/>
          </w:rPr>
          <w:t>Enforceable undertaking</w:t>
        </w:r>
        <w:r w:rsidR="00AF6EF3">
          <w:rPr>
            <w:noProof/>
            <w:webHidden/>
          </w:rPr>
          <w:tab/>
        </w:r>
        <w:r w:rsidR="00AF6EF3">
          <w:rPr>
            <w:noProof/>
            <w:webHidden/>
          </w:rPr>
          <w:fldChar w:fldCharType="begin"/>
        </w:r>
        <w:r w:rsidR="00AF6EF3">
          <w:rPr>
            <w:noProof/>
            <w:webHidden/>
          </w:rPr>
          <w:instrText xml:space="preserve"> PAGEREF _Toc146284769 \h </w:instrText>
        </w:r>
        <w:r w:rsidR="00AF6EF3">
          <w:rPr>
            <w:noProof/>
            <w:webHidden/>
          </w:rPr>
        </w:r>
        <w:r w:rsidR="00AF6EF3">
          <w:rPr>
            <w:noProof/>
            <w:webHidden/>
          </w:rPr>
          <w:fldChar w:fldCharType="separate"/>
        </w:r>
        <w:r w:rsidR="006A4647">
          <w:rPr>
            <w:noProof/>
            <w:webHidden/>
          </w:rPr>
          <w:t>14</w:t>
        </w:r>
        <w:r w:rsidR="00AF6EF3">
          <w:rPr>
            <w:noProof/>
            <w:webHidden/>
          </w:rPr>
          <w:fldChar w:fldCharType="end"/>
        </w:r>
      </w:hyperlink>
    </w:p>
    <w:p w14:paraId="43022113" w14:textId="2158B578" w:rsidR="00AF6EF3" w:rsidRDefault="00A11C1D" w:rsidP="00A11C1D">
      <w:pPr>
        <w:pStyle w:val="TOC2"/>
        <w:rPr>
          <w:rFonts w:asciiTheme="minorHAnsi" w:eastAsiaTheme="minorEastAsia" w:hAnsiTheme="minorHAnsi" w:cstheme="minorBidi"/>
          <w:noProof/>
          <w:lang w:val="en-AU" w:eastAsia="en-AU"/>
        </w:rPr>
      </w:pPr>
      <w:hyperlink w:anchor="_Toc146284770" w:history="1">
        <w:r w:rsidR="00AF6EF3" w:rsidRPr="00101112">
          <w:rPr>
            <w:rStyle w:val="Hyperlink"/>
            <w:noProof/>
          </w:rPr>
          <w:t>Infringement notices</w:t>
        </w:r>
        <w:r w:rsidR="00AF6EF3">
          <w:rPr>
            <w:noProof/>
            <w:webHidden/>
          </w:rPr>
          <w:tab/>
        </w:r>
        <w:r w:rsidR="00AF6EF3">
          <w:rPr>
            <w:noProof/>
            <w:webHidden/>
          </w:rPr>
          <w:fldChar w:fldCharType="begin"/>
        </w:r>
        <w:r w:rsidR="00AF6EF3">
          <w:rPr>
            <w:noProof/>
            <w:webHidden/>
          </w:rPr>
          <w:instrText xml:space="preserve"> PAGEREF _Toc146284770 \h </w:instrText>
        </w:r>
        <w:r w:rsidR="00AF6EF3">
          <w:rPr>
            <w:noProof/>
            <w:webHidden/>
          </w:rPr>
        </w:r>
        <w:r w:rsidR="00AF6EF3">
          <w:rPr>
            <w:noProof/>
            <w:webHidden/>
          </w:rPr>
          <w:fldChar w:fldCharType="separate"/>
        </w:r>
        <w:r w:rsidR="006A4647">
          <w:rPr>
            <w:noProof/>
            <w:webHidden/>
          </w:rPr>
          <w:t>15</w:t>
        </w:r>
        <w:r w:rsidR="00AF6EF3">
          <w:rPr>
            <w:noProof/>
            <w:webHidden/>
          </w:rPr>
          <w:fldChar w:fldCharType="end"/>
        </w:r>
      </w:hyperlink>
    </w:p>
    <w:p w14:paraId="43BBAD58" w14:textId="3EB1E375" w:rsidR="00AF6EF3" w:rsidRDefault="00A11C1D" w:rsidP="00A11C1D">
      <w:pPr>
        <w:pStyle w:val="TOC2"/>
        <w:rPr>
          <w:rFonts w:asciiTheme="minorHAnsi" w:eastAsiaTheme="minorEastAsia" w:hAnsiTheme="minorHAnsi" w:cstheme="minorBidi"/>
          <w:noProof/>
          <w:lang w:val="en-AU" w:eastAsia="en-AU"/>
        </w:rPr>
      </w:pPr>
      <w:hyperlink w:anchor="_Toc146284771" w:history="1">
        <w:r w:rsidR="00AF6EF3" w:rsidRPr="00101112">
          <w:rPr>
            <w:rStyle w:val="Hyperlink"/>
            <w:rFonts w:cs="Arial"/>
            <w:noProof/>
          </w:rPr>
          <w:t>Civil pecuniary penalties and injunctions</w:t>
        </w:r>
        <w:r w:rsidR="00AF6EF3">
          <w:rPr>
            <w:noProof/>
            <w:webHidden/>
          </w:rPr>
          <w:tab/>
        </w:r>
        <w:r w:rsidR="00AF6EF3">
          <w:rPr>
            <w:noProof/>
            <w:webHidden/>
          </w:rPr>
          <w:fldChar w:fldCharType="begin"/>
        </w:r>
        <w:r w:rsidR="00AF6EF3">
          <w:rPr>
            <w:noProof/>
            <w:webHidden/>
          </w:rPr>
          <w:instrText xml:space="preserve"> PAGEREF _Toc146284771 \h </w:instrText>
        </w:r>
        <w:r w:rsidR="00AF6EF3">
          <w:rPr>
            <w:noProof/>
            <w:webHidden/>
          </w:rPr>
        </w:r>
        <w:r w:rsidR="00AF6EF3">
          <w:rPr>
            <w:noProof/>
            <w:webHidden/>
          </w:rPr>
          <w:fldChar w:fldCharType="separate"/>
        </w:r>
        <w:r w:rsidR="006A4647">
          <w:rPr>
            <w:noProof/>
            <w:webHidden/>
          </w:rPr>
          <w:t>16</w:t>
        </w:r>
        <w:r w:rsidR="00AF6EF3">
          <w:rPr>
            <w:noProof/>
            <w:webHidden/>
          </w:rPr>
          <w:fldChar w:fldCharType="end"/>
        </w:r>
      </w:hyperlink>
    </w:p>
    <w:p w14:paraId="11F5E1D6" w14:textId="60039865" w:rsidR="00AF6EF3" w:rsidRDefault="00A11C1D">
      <w:pPr>
        <w:pStyle w:val="TOC1"/>
        <w:rPr>
          <w:rFonts w:asciiTheme="minorHAnsi" w:eastAsiaTheme="minorEastAsia" w:hAnsiTheme="minorHAnsi" w:cstheme="minorBidi"/>
          <w:noProof/>
          <w:lang w:val="en-AU" w:eastAsia="en-AU"/>
        </w:rPr>
      </w:pPr>
      <w:hyperlink w:anchor="_Toc146284772" w:history="1">
        <w:r w:rsidR="00AF6EF3" w:rsidRPr="00101112">
          <w:rPr>
            <w:rStyle w:val="Hyperlink"/>
            <w:noProof/>
          </w:rPr>
          <w:t>5. Consultation questions</w:t>
        </w:r>
        <w:r w:rsidR="00AF6EF3">
          <w:rPr>
            <w:noProof/>
            <w:webHidden/>
          </w:rPr>
          <w:tab/>
        </w:r>
        <w:r w:rsidR="00AF6EF3">
          <w:rPr>
            <w:noProof/>
            <w:webHidden/>
          </w:rPr>
          <w:fldChar w:fldCharType="begin"/>
        </w:r>
        <w:r w:rsidR="00AF6EF3">
          <w:rPr>
            <w:noProof/>
            <w:webHidden/>
          </w:rPr>
          <w:instrText xml:space="preserve"> PAGEREF _Toc146284772 \h </w:instrText>
        </w:r>
        <w:r w:rsidR="00AF6EF3">
          <w:rPr>
            <w:noProof/>
            <w:webHidden/>
          </w:rPr>
        </w:r>
        <w:r w:rsidR="00AF6EF3">
          <w:rPr>
            <w:noProof/>
            <w:webHidden/>
          </w:rPr>
          <w:fldChar w:fldCharType="separate"/>
        </w:r>
        <w:r w:rsidR="006A4647">
          <w:rPr>
            <w:noProof/>
            <w:webHidden/>
          </w:rPr>
          <w:t>17</w:t>
        </w:r>
        <w:r w:rsidR="00AF6EF3">
          <w:rPr>
            <w:noProof/>
            <w:webHidden/>
          </w:rPr>
          <w:fldChar w:fldCharType="end"/>
        </w:r>
      </w:hyperlink>
    </w:p>
    <w:p w14:paraId="15E2A8E1" w14:textId="20E5928E" w:rsidR="000D0740" w:rsidRDefault="000D0740">
      <w:r>
        <w:rPr>
          <w:b/>
          <w:color w:val="2B579A"/>
          <w:shd w:val="clear" w:color="auto" w:fill="E6E6E6"/>
        </w:rPr>
        <w:fldChar w:fldCharType="end"/>
      </w:r>
    </w:p>
    <w:p w14:paraId="2B967EB6" w14:textId="77777777" w:rsidR="006551D7" w:rsidRDefault="006551D7" w:rsidP="00B124A2">
      <w:pPr>
        <w:pStyle w:val="Heading1"/>
        <w:tabs>
          <w:tab w:val="center" w:pos="5233"/>
        </w:tabs>
        <w:spacing w:before="0" w:after="240"/>
        <w:sectPr w:rsidR="006551D7" w:rsidSect="005A1C2C">
          <w:headerReference w:type="even" r:id="rId9"/>
          <w:headerReference w:type="default" r:id="rId10"/>
          <w:footerReference w:type="even" r:id="rId11"/>
          <w:footerReference w:type="default" r:id="rId12"/>
          <w:headerReference w:type="first" r:id="rId13"/>
          <w:footerReference w:type="first" r:id="rId14"/>
          <w:pgSz w:w="11906" w:h="16838"/>
          <w:pgMar w:top="1440" w:right="1440" w:bottom="1440" w:left="1440" w:header="708" w:footer="405" w:gutter="0"/>
          <w:cols w:space="708"/>
          <w:titlePg/>
          <w:docGrid w:linePitch="360"/>
        </w:sectPr>
      </w:pPr>
      <w:bookmarkStart w:id="6" w:name="_Toc64388881"/>
      <w:bookmarkStart w:id="7" w:name="_Toc65491615"/>
      <w:bookmarkStart w:id="8" w:name="_Toc146284756"/>
      <w:bookmarkEnd w:id="0"/>
      <w:bookmarkEnd w:id="1"/>
      <w:bookmarkEnd w:id="2"/>
      <w:bookmarkEnd w:id="3"/>
      <w:bookmarkEnd w:id="4"/>
      <w:bookmarkEnd w:id="5"/>
    </w:p>
    <w:p w14:paraId="3375741D" w14:textId="355A07D1" w:rsidR="001C3FA1" w:rsidRDefault="001C3FA1" w:rsidP="00B124A2">
      <w:pPr>
        <w:pStyle w:val="Heading1"/>
        <w:tabs>
          <w:tab w:val="center" w:pos="5233"/>
        </w:tabs>
        <w:spacing w:before="0" w:after="240"/>
      </w:pPr>
      <w:r>
        <w:lastRenderedPageBreak/>
        <w:t>Definitions</w:t>
      </w:r>
      <w:bookmarkEnd w:id="6"/>
      <w:r w:rsidR="000655A9">
        <w:t xml:space="preserve"> / Acronyms</w:t>
      </w:r>
      <w:bookmarkEnd w:id="7"/>
      <w:bookmarkEnd w:id="8"/>
    </w:p>
    <w:p w14:paraId="3BF4551A" w14:textId="3F46E8FA" w:rsidR="001C3FA1" w:rsidRPr="00A14376" w:rsidRDefault="0A5B87F3" w:rsidP="001C3FA1">
      <w:pPr>
        <w:rPr>
          <w:rFonts w:ascii="Calibri" w:eastAsia="Calibri" w:hAnsi="Calibri"/>
          <w:lang w:eastAsia="en-US"/>
        </w:rPr>
      </w:pPr>
      <w:proofErr w:type="gramStart"/>
      <w:r w:rsidRPr="14BE2A8B">
        <w:rPr>
          <w:rFonts w:ascii="Calibri" w:eastAsia="Calibri" w:hAnsi="Calibri"/>
          <w:lang w:eastAsia="en-US"/>
        </w:rPr>
        <w:t>A number of</w:t>
      </w:r>
      <w:proofErr w:type="gramEnd"/>
      <w:r w:rsidRPr="14BE2A8B">
        <w:rPr>
          <w:rFonts w:ascii="Calibri" w:eastAsia="Calibri" w:hAnsi="Calibri"/>
          <w:lang w:eastAsia="en-US"/>
        </w:rPr>
        <w:t xml:space="preserve"> </w:t>
      </w:r>
      <w:r w:rsidR="5E7F7104" w:rsidRPr="14BE2A8B">
        <w:rPr>
          <w:rFonts w:ascii="Calibri" w:eastAsia="Calibri" w:hAnsi="Calibri"/>
          <w:lang w:eastAsia="en-US"/>
        </w:rPr>
        <w:t xml:space="preserve">terms are used throughout this paper. To ensure consistency in the meaning of each term, definitions </w:t>
      </w:r>
      <w:r w:rsidRPr="14BE2A8B">
        <w:rPr>
          <w:rFonts w:ascii="Calibri" w:eastAsia="Calibri" w:hAnsi="Calibri"/>
          <w:lang w:eastAsia="en-US"/>
        </w:rPr>
        <w:t>are</w:t>
      </w:r>
      <w:r w:rsidR="5E7F7104" w:rsidRPr="14BE2A8B">
        <w:rPr>
          <w:rFonts w:ascii="Calibri" w:eastAsia="Calibri" w:hAnsi="Calibri"/>
          <w:lang w:eastAsia="en-US"/>
        </w:rPr>
        <w:t xml:space="preserve"> provided below. </w:t>
      </w:r>
    </w:p>
    <w:p w14:paraId="22590E38" w14:textId="2D7FC654" w:rsidR="28161178" w:rsidRDefault="28161178" w:rsidP="28161178">
      <w:pPr>
        <w:rPr>
          <w:rFonts w:ascii="Calibri" w:eastAsia="Calibri" w:hAnsi="Calibri"/>
          <w:lang w:eastAsia="en-US"/>
        </w:rPr>
      </w:pPr>
    </w:p>
    <w:tbl>
      <w:tblPr>
        <w:tblW w:w="0" w:type="auto"/>
        <w:tblLook w:val="04A0" w:firstRow="1" w:lastRow="0" w:firstColumn="1" w:lastColumn="0" w:noHBand="0" w:noVBand="1"/>
      </w:tblPr>
      <w:tblGrid>
        <w:gridCol w:w="2402"/>
        <w:gridCol w:w="6624"/>
      </w:tblGrid>
      <w:tr w:rsidR="28161178" w14:paraId="4AA83F87" w14:textId="77777777" w:rsidTr="28161178">
        <w:trPr>
          <w:trHeight w:val="510"/>
        </w:trPr>
        <w:tc>
          <w:tcPr>
            <w:tcW w:w="2402" w:type="dxa"/>
            <w:shd w:val="clear" w:color="auto" w:fill="auto"/>
          </w:tcPr>
          <w:p w14:paraId="29CA75FC" w14:textId="77777777" w:rsidR="28161178" w:rsidRDefault="28161178" w:rsidP="28161178">
            <w:pPr>
              <w:rPr>
                <w:rFonts w:ascii="Calibri" w:eastAsia="Calibri" w:hAnsi="Calibri"/>
                <w:lang w:eastAsia="en-US"/>
              </w:rPr>
            </w:pPr>
            <w:r w:rsidRPr="28161178">
              <w:rPr>
                <w:rFonts w:ascii="Calibri" w:eastAsia="Calibri" w:hAnsi="Calibri"/>
                <w:b/>
                <w:bCs/>
                <w:lang w:eastAsia="en-US"/>
              </w:rPr>
              <w:t>ACCC</w:t>
            </w:r>
          </w:p>
        </w:tc>
        <w:tc>
          <w:tcPr>
            <w:tcW w:w="6624" w:type="dxa"/>
            <w:shd w:val="clear" w:color="auto" w:fill="auto"/>
          </w:tcPr>
          <w:p w14:paraId="4B05934C" w14:textId="77777777" w:rsidR="28161178" w:rsidRDefault="28161178" w:rsidP="28161178">
            <w:pPr>
              <w:rPr>
                <w:rFonts w:ascii="Calibri" w:eastAsia="Calibri" w:hAnsi="Calibri"/>
                <w:lang w:eastAsia="en-US"/>
              </w:rPr>
            </w:pPr>
            <w:r w:rsidRPr="28161178">
              <w:rPr>
                <w:rFonts w:ascii="Calibri" w:eastAsia="Calibri" w:hAnsi="Calibri"/>
                <w:lang w:eastAsia="en-US"/>
              </w:rPr>
              <w:t>Australian Competition &amp; Consumer Commission</w:t>
            </w:r>
          </w:p>
        </w:tc>
      </w:tr>
      <w:tr w:rsidR="28161178" w14:paraId="15A4F4EB" w14:textId="77777777" w:rsidTr="28161178">
        <w:trPr>
          <w:trHeight w:val="510"/>
        </w:trPr>
        <w:tc>
          <w:tcPr>
            <w:tcW w:w="2402" w:type="dxa"/>
            <w:shd w:val="clear" w:color="auto" w:fill="auto"/>
          </w:tcPr>
          <w:p w14:paraId="2C3780C9" w14:textId="77777777" w:rsidR="28161178" w:rsidRDefault="28161178" w:rsidP="28161178">
            <w:pPr>
              <w:rPr>
                <w:rFonts w:ascii="Calibri" w:eastAsia="Calibri" w:hAnsi="Calibri"/>
                <w:b/>
                <w:bCs/>
                <w:lang w:eastAsia="en-US"/>
              </w:rPr>
            </w:pPr>
            <w:r w:rsidRPr="28161178">
              <w:rPr>
                <w:rFonts w:ascii="Calibri" w:eastAsia="Calibri" w:hAnsi="Calibri"/>
                <w:b/>
                <w:bCs/>
                <w:lang w:eastAsia="en-US"/>
              </w:rPr>
              <w:t>AER</w:t>
            </w:r>
          </w:p>
        </w:tc>
        <w:tc>
          <w:tcPr>
            <w:tcW w:w="6624" w:type="dxa"/>
            <w:shd w:val="clear" w:color="auto" w:fill="auto"/>
          </w:tcPr>
          <w:p w14:paraId="06D1D706" w14:textId="77777777" w:rsidR="28161178" w:rsidRDefault="28161178" w:rsidP="28161178">
            <w:pPr>
              <w:rPr>
                <w:rFonts w:ascii="Calibri" w:eastAsia="Calibri" w:hAnsi="Calibri"/>
                <w:lang w:eastAsia="en-US"/>
              </w:rPr>
            </w:pPr>
            <w:r w:rsidRPr="28161178">
              <w:rPr>
                <w:rFonts w:ascii="Calibri" w:eastAsia="Calibri" w:hAnsi="Calibri"/>
                <w:lang w:eastAsia="en-US"/>
              </w:rPr>
              <w:t>Australian Energy Regulator</w:t>
            </w:r>
          </w:p>
        </w:tc>
      </w:tr>
      <w:tr w:rsidR="28161178" w14:paraId="76F2DA24" w14:textId="77777777" w:rsidTr="28161178">
        <w:trPr>
          <w:trHeight w:val="510"/>
        </w:trPr>
        <w:tc>
          <w:tcPr>
            <w:tcW w:w="2402" w:type="dxa"/>
            <w:shd w:val="clear" w:color="auto" w:fill="auto"/>
          </w:tcPr>
          <w:p w14:paraId="1288E739" w14:textId="77777777" w:rsidR="28161178" w:rsidRDefault="28161178" w:rsidP="28161178">
            <w:pPr>
              <w:rPr>
                <w:rFonts w:ascii="Calibri" w:eastAsia="Calibri" w:hAnsi="Calibri"/>
                <w:lang w:eastAsia="en-US"/>
              </w:rPr>
            </w:pPr>
            <w:r w:rsidRPr="28161178">
              <w:rPr>
                <w:rFonts w:ascii="Calibri" w:eastAsia="Calibri" w:hAnsi="Calibri"/>
                <w:b/>
                <w:bCs/>
                <w:lang w:eastAsia="en-US"/>
              </w:rPr>
              <w:t>CMTEDD</w:t>
            </w:r>
            <w:r w:rsidRPr="28161178">
              <w:rPr>
                <w:rFonts w:ascii="Calibri" w:eastAsia="Calibri" w:hAnsi="Calibri"/>
                <w:lang w:eastAsia="en-US"/>
              </w:rPr>
              <w:t xml:space="preserve"> </w:t>
            </w:r>
          </w:p>
        </w:tc>
        <w:tc>
          <w:tcPr>
            <w:tcW w:w="6624" w:type="dxa"/>
            <w:shd w:val="clear" w:color="auto" w:fill="auto"/>
          </w:tcPr>
          <w:p w14:paraId="2FF18FCA" w14:textId="77777777" w:rsidR="28161178" w:rsidRDefault="28161178" w:rsidP="28161178">
            <w:pPr>
              <w:rPr>
                <w:rFonts w:ascii="Calibri" w:eastAsia="Calibri" w:hAnsi="Calibri"/>
                <w:b/>
                <w:bCs/>
                <w:lang w:eastAsia="en-US"/>
              </w:rPr>
            </w:pPr>
            <w:r w:rsidRPr="28161178">
              <w:rPr>
                <w:rFonts w:ascii="Calibri" w:eastAsia="Calibri" w:hAnsi="Calibri"/>
                <w:lang w:eastAsia="en-US"/>
              </w:rPr>
              <w:t>Chief Minister, Treasury and Economic Development Directorate</w:t>
            </w:r>
          </w:p>
        </w:tc>
      </w:tr>
      <w:tr w:rsidR="28161178" w14:paraId="70B3D7AB" w14:textId="77777777" w:rsidTr="28161178">
        <w:trPr>
          <w:trHeight w:val="510"/>
        </w:trPr>
        <w:tc>
          <w:tcPr>
            <w:tcW w:w="2402" w:type="dxa"/>
            <w:shd w:val="clear" w:color="auto" w:fill="auto"/>
          </w:tcPr>
          <w:p w14:paraId="2C964108" w14:textId="77777777" w:rsidR="28161178" w:rsidRDefault="28161178" w:rsidP="28161178">
            <w:pPr>
              <w:rPr>
                <w:rFonts w:ascii="Calibri" w:eastAsia="Calibri" w:hAnsi="Calibri"/>
                <w:b/>
                <w:bCs/>
                <w:lang w:eastAsia="en-US"/>
              </w:rPr>
            </w:pPr>
            <w:r w:rsidRPr="28161178">
              <w:rPr>
                <w:rFonts w:ascii="Calibri" w:eastAsia="Calibri" w:hAnsi="Calibri"/>
                <w:b/>
                <w:bCs/>
                <w:lang w:eastAsia="en-US"/>
              </w:rPr>
              <w:t>DPP</w:t>
            </w:r>
          </w:p>
        </w:tc>
        <w:tc>
          <w:tcPr>
            <w:tcW w:w="6624" w:type="dxa"/>
            <w:shd w:val="clear" w:color="auto" w:fill="auto"/>
          </w:tcPr>
          <w:p w14:paraId="57E6110C" w14:textId="77777777" w:rsidR="28161178" w:rsidRDefault="28161178" w:rsidP="28161178">
            <w:pPr>
              <w:rPr>
                <w:rFonts w:ascii="Calibri" w:eastAsia="Calibri" w:hAnsi="Calibri"/>
                <w:lang w:eastAsia="en-US"/>
              </w:rPr>
            </w:pPr>
            <w:r w:rsidRPr="28161178">
              <w:rPr>
                <w:rFonts w:ascii="Calibri" w:eastAsia="Calibri" w:hAnsi="Calibri"/>
                <w:lang w:eastAsia="en-US"/>
              </w:rPr>
              <w:t>The Office of the Director for Public Prosecutions</w:t>
            </w:r>
          </w:p>
        </w:tc>
      </w:tr>
      <w:tr w:rsidR="28161178" w14:paraId="5D46759F" w14:textId="77777777" w:rsidTr="28161178">
        <w:trPr>
          <w:trHeight w:val="510"/>
        </w:trPr>
        <w:tc>
          <w:tcPr>
            <w:tcW w:w="2402" w:type="dxa"/>
            <w:shd w:val="clear" w:color="auto" w:fill="auto"/>
          </w:tcPr>
          <w:p w14:paraId="082182DA" w14:textId="77777777" w:rsidR="28161178" w:rsidRDefault="28161178" w:rsidP="28161178">
            <w:pPr>
              <w:rPr>
                <w:rFonts w:ascii="Calibri" w:eastAsia="Calibri" w:hAnsi="Calibri"/>
                <w:lang w:eastAsia="en-US"/>
              </w:rPr>
            </w:pPr>
            <w:r w:rsidRPr="28161178">
              <w:rPr>
                <w:rFonts w:ascii="Calibri" w:eastAsia="Calibri" w:hAnsi="Calibri"/>
                <w:b/>
                <w:bCs/>
                <w:lang w:eastAsia="en-US"/>
              </w:rPr>
              <w:t>ICRC</w:t>
            </w:r>
            <w:r w:rsidRPr="28161178">
              <w:rPr>
                <w:rFonts w:ascii="Calibri" w:eastAsia="Calibri" w:hAnsi="Calibri"/>
                <w:lang w:eastAsia="en-US"/>
              </w:rPr>
              <w:t xml:space="preserve"> </w:t>
            </w:r>
          </w:p>
        </w:tc>
        <w:tc>
          <w:tcPr>
            <w:tcW w:w="6624" w:type="dxa"/>
            <w:shd w:val="clear" w:color="auto" w:fill="auto"/>
          </w:tcPr>
          <w:p w14:paraId="739FA048" w14:textId="77777777" w:rsidR="28161178" w:rsidRDefault="28161178" w:rsidP="28161178">
            <w:pPr>
              <w:rPr>
                <w:rFonts w:ascii="Calibri" w:eastAsia="Calibri" w:hAnsi="Calibri"/>
                <w:lang w:eastAsia="en-US"/>
              </w:rPr>
            </w:pPr>
            <w:r w:rsidRPr="28161178">
              <w:rPr>
                <w:rFonts w:ascii="Calibri" w:eastAsia="Calibri" w:hAnsi="Calibri"/>
                <w:lang w:eastAsia="en-US"/>
              </w:rPr>
              <w:t>Independent Competition and Regulatory Commission</w:t>
            </w:r>
          </w:p>
        </w:tc>
      </w:tr>
      <w:tr w:rsidR="28161178" w14:paraId="45A73E22" w14:textId="77777777" w:rsidTr="28161178">
        <w:trPr>
          <w:trHeight w:val="510"/>
        </w:trPr>
        <w:tc>
          <w:tcPr>
            <w:tcW w:w="2402" w:type="dxa"/>
            <w:shd w:val="clear" w:color="auto" w:fill="auto"/>
          </w:tcPr>
          <w:p w14:paraId="4BEFB478" w14:textId="77777777" w:rsidR="28161178" w:rsidRDefault="28161178" w:rsidP="28161178">
            <w:pPr>
              <w:rPr>
                <w:rFonts w:ascii="Calibri" w:eastAsia="Calibri" w:hAnsi="Calibri"/>
                <w:b/>
                <w:bCs/>
                <w:lang w:eastAsia="en-US"/>
              </w:rPr>
            </w:pPr>
            <w:r w:rsidRPr="28161178">
              <w:rPr>
                <w:rFonts w:ascii="Calibri" w:eastAsia="Calibri" w:hAnsi="Calibri"/>
                <w:b/>
                <w:bCs/>
                <w:lang w:eastAsia="en-US"/>
              </w:rPr>
              <w:t>ULAR</w:t>
            </w:r>
          </w:p>
        </w:tc>
        <w:tc>
          <w:tcPr>
            <w:tcW w:w="6624" w:type="dxa"/>
            <w:shd w:val="clear" w:color="auto" w:fill="auto"/>
          </w:tcPr>
          <w:p w14:paraId="3B10DF4F" w14:textId="77777777" w:rsidR="28161178" w:rsidRDefault="28161178" w:rsidP="28161178">
            <w:pPr>
              <w:rPr>
                <w:rFonts w:ascii="Calibri" w:eastAsia="Calibri" w:hAnsi="Calibri"/>
                <w:lang w:eastAsia="en-US"/>
              </w:rPr>
            </w:pPr>
            <w:r w:rsidRPr="28161178">
              <w:rPr>
                <w:rFonts w:ascii="Calibri" w:eastAsia="Calibri" w:hAnsi="Calibri"/>
                <w:lang w:eastAsia="en-US"/>
              </w:rPr>
              <w:t>Utility Licensing Annual Report</w:t>
            </w:r>
          </w:p>
        </w:tc>
      </w:tr>
    </w:tbl>
    <w:p w14:paraId="60E87B3F" w14:textId="134086A7" w:rsidR="28161178" w:rsidRDefault="28161178" w:rsidP="28161178">
      <w:pPr>
        <w:rPr>
          <w:rFonts w:ascii="Calibri" w:eastAsia="Calibri" w:hAnsi="Calibri"/>
          <w:lang w:eastAsia="en-US"/>
        </w:rPr>
      </w:pPr>
    </w:p>
    <w:p w14:paraId="277194BF" w14:textId="77777777" w:rsidR="001C3FA1" w:rsidRPr="00A14376" w:rsidRDefault="001C3FA1" w:rsidP="001C3FA1">
      <w:pPr>
        <w:rPr>
          <w:rFonts w:ascii="Calibri" w:eastAsia="Calibri" w:hAnsi="Calibri"/>
          <w:lang w:eastAsia="en-US"/>
        </w:rPr>
      </w:pPr>
    </w:p>
    <w:p w14:paraId="422F0974" w14:textId="77777777" w:rsidR="006551D7" w:rsidRDefault="006551D7" w:rsidP="002F08D4">
      <w:pPr>
        <w:pStyle w:val="Heading1"/>
        <w:spacing w:before="0" w:after="240"/>
        <w:sectPr w:rsidR="006551D7" w:rsidSect="005A1C2C">
          <w:pgSz w:w="11906" w:h="16838"/>
          <w:pgMar w:top="1440" w:right="1440" w:bottom="1440" w:left="1440" w:header="708" w:footer="405" w:gutter="0"/>
          <w:cols w:space="708"/>
          <w:titlePg/>
          <w:docGrid w:linePitch="360"/>
        </w:sectPr>
      </w:pPr>
      <w:bookmarkStart w:id="9" w:name="_Toc64388882"/>
      <w:bookmarkStart w:id="10" w:name="_Toc65491616"/>
      <w:bookmarkStart w:id="11" w:name="_Toc146284757"/>
    </w:p>
    <w:p w14:paraId="364AE3FF" w14:textId="4787DCD1" w:rsidR="00EC4B65" w:rsidRDefault="009E1404" w:rsidP="002F08D4">
      <w:pPr>
        <w:pStyle w:val="Heading1"/>
        <w:spacing w:before="0" w:after="240"/>
      </w:pPr>
      <w:r>
        <w:lastRenderedPageBreak/>
        <w:t xml:space="preserve">1. </w:t>
      </w:r>
      <w:r w:rsidR="003A6747">
        <w:t>Introduction</w:t>
      </w:r>
      <w:bookmarkEnd w:id="9"/>
      <w:bookmarkEnd w:id="10"/>
      <w:bookmarkEnd w:id="11"/>
    </w:p>
    <w:p w14:paraId="72197A23" w14:textId="4AE772E2" w:rsidR="00B65D9D" w:rsidRDefault="223FA23F" w:rsidP="28161178">
      <w:pPr>
        <w:pStyle w:val="Header"/>
        <w:widowControl/>
        <w:tabs>
          <w:tab w:val="clear" w:pos="4320"/>
          <w:tab w:val="clear" w:pos="8640"/>
        </w:tabs>
        <w:contextualSpacing/>
        <w:rPr>
          <w:rFonts w:ascii="Calibri" w:hAnsi="Calibri" w:cs="Arial"/>
          <w:lang w:val="en-AU"/>
        </w:rPr>
      </w:pPr>
      <w:r w:rsidRPr="28161178">
        <w:rPr>
          <w:rFonts w:ascii="Calibri" w:hAnsi="Calibri" w:cs="Arial"/>
          <w:lang w:val="en-AU"/>
        </w:rPr>
        <w:t xml:space="preserve">This </w:t>
      </w:r>
      <w:r w:rsidR="6D538140" w:rsidRPr="28161178">
        <w:rPr>
          <w:rFonts w:ascii="Calibri" w:hAnsi="Calibri" w:cs="Arial"/>
          <w:lang w:val="en-AU"/>
        </w:rPr>
        <w:t>Consultation</w:t>
      </w:r>
      <w:r w:rsidR="11873DC4" w:rsidRPr="28161178">
        <w:rPr>
          <w:rFonts w:ascii="Calibri" w:hAnsi="Calibri" w:cs="Arial"/>
          <w:lang w:val="en-AU"/>
        </w:rPr>
        <w:t xml:space="preserve"> Paper</w:t>
      </w:r>
      <w:r w:rsidR="0F370C6F" w:rsidRPr="28161178">
        <w:rPr>
          <w:rFonts w:ascii="Calibri" w:hAnsi="Calibri" w:cs="Arial"/>
          <w:lang w:val="en-AU"/>
        </w:rPr>
        <w:t xml:space="preserve"> </w:t>
      </w:r>
      <w:r w:rsidR="3F15973D" w:rsidRPr="28161178">
        <w:rPr>
          <w:rFonts w:ascii="Calibri" w:hAnsi="Calibri" w:cs="Arial"/>
          <w:lang w:val="en-AU"/>
        </w:rPr>
        <w:t>seeks views on</w:t>
      </w:r>
      <w:r w:rsidR="42D2DFBC" w:rsidRPr="28161178">
        <w:rPr>
          <w:rFonts w:ascii="Calibri" w:hAnsi="Calibri" w:cs="Arial"/>
          <w:lang w:val="en-AU"/>
        </w:rPr>
        <w:t xml:space="preserve"> </w:t>
      </w:r>
      <w:r w:rsidR="3A942BC6" w:rsidRPr="28161178">
        <w:rPr>
          <w:rFonts w:ascii="Calibri" w:hAnsi="Calibri" w:cs="Arial"/>
          <w:lang w:val="en-AU"/>
        </w:rPr>
        <w:t xml:space="preserve">the </w:t>
      </w:r>
      <w:r w:rsidR="42D2DFBC" w:rsidRPr="28161178">
        <w:rPr>
          <w:rFonts w:ascii="Calibri" w:hAnsi="Calibri" w:cs="Arial"/>
          <w:lang w:val="en-AU"/>
        </w:rPr>
        <w:t>propos</w:t>
      </w:r>
      <w:r w:rsidR="3A942BC6" w:rsidRPr="28161178">
        <w:rPr>
          <w:rFonts w:ascii="Calibri" w:hAnsi="Calibri" w:cs="Arial"/>
          <w:lang w:val="en-AU"/>
        </w:rPr>
        <w:t>ed</w:t>
      </w:r>
      <w:r w:rsidR="42D2DFBC" w:rsidRPr="28161178">
        <w:rPr>
          <w:rFonts w:ascii="Calibri" w:hAnsi="Calibri" w:cs="Arial"/>
          <w:lang w:val="en-AU"/>
        </w:rPr>
        <w:t xml:space="preserve"> </w:t>
      </w:r>
      <w:r w:rsidR="3F15973D" w:rsidRPr="28161178">
        <w:rPr>
          <w:rFonts w:ascii="Calibri" w:hAnsi="Calibri" w:cs="Arial"/>
          <w:lang w:val="en-AU"/>
        </w:rPr>
        <w:t>modernis</w:t>
      </w:r>
      <w:r w:rsidR="3A942BC6" w:rsidRPr="28161178">
        <w:rPr>
          <w:rFonts w:ascii="Calibri" w:hAnsi="Calibri" w:cs="Arial"/>
          <w:lang w:val="en-AU"/>
        </w:rPr>
        <w:t>ation of the</w:t>
      </w:r>
      <w:r w:rsidR="3F15973D" w:rsidRPr="28161178">
        <w:rPr>
          <w:rFonts w:ascii="Calibri" w:hAnsi="Calibri" w:cs="Arial"/>
          <w:lang w:val="en-AU"/>
        </w:rPr>
        <w:t xml:space="preserve"> enforcement capabilities of the Independent Competition and Regulatory Commission (the </w:t>
      </w:r>
      <w:r w:rsidR="520E6AA5" w:rsidRPr="28161178">
        <w:rPr>
          <w:rFonts w:ascii="Calibri" w:hAnsi="Calibri" w:cs="Arial"/>
          <w:lang w:val="en-AU"/>
        </w:rPr>
        <w:t>ICRC</w:t>
      </w:r>
      <w:r w:rsidR="3F15973D" w:rsidRPr="28161178">
        <w:rPr>
          <w:rFonts w:ascii="Calibri" w:hAnsi="Calibri" w:cs="Arial"/>
          <w:lang w:val="en-AU"/>
        </w:rPr>
        <w:t>)</w:t>
      </w:r>
      <w:r w:rsidR="3753D6CE" w:rsidRPr="28161178">
        <w:rPr>
          <w:rFonts w:ascii="Calibri" w:hAnsi="Calibri" w:cs="Arial"/>
          <w:lang w:val="en-AU"/>
        </w:rPr>
        <w:t xml:space="preserve">, </w:t>
      </w:r>
      <w:r w:rsidR="009415E8">
        <w:rPr>
          <w:rFonts w:ascii="Calibri" w:hAnsi="Calibri" w:cs="Arial"/>
          <w:lang w:val="en-AU"/>
        </w:rPr>
        <w:t>to provide it with</w:t>
      </w:r>
      <w:r w:rsidR="3753D6CE" w:rsidRPr="28161178">
        <w:rPr>
          <w:rFonts w:ascii="Calibri" w:hAnsi="Calibri" w:cs="Arial"/>
          <w:lang w:val="en-AU"/>
        </w:rPr>
        <w:t xml:space="preserve"> comparable powers to other economic regulators of </w:t>
      </w:r>
      <w:r w:rsidR="42D2DFBC" w:rsidRPr="28161178">
        <w:rPr>
          <w:rFonts w:ascii="Calibri" w:hAnsi="Calibri" w:cs="Arial"/>
          <w:lang w:val="en-AU"/>
        </w:rPr>
        <w:t>electricity</w:t>
      </w:r>
      <w:r w:rsidR="45C3445E" w:rsidRPr="28161178">
        <w:rPr>
          <w:rFonts w:ascii="Calibri" w:hAnsi="Calibri" w:cs="Arial"/>
          <w:lang w:val="en-AU"/>
        </w:rPr>
        <w:t>, gas</w:t>
      </w:r>
      <w:r w:rsidR="42D2DFBC" w:rsidRPr="28161178">
        <w:rPr>
          <w:rFonts w:ascii="Calibri" w:hAnsi="Calibri" w:cs="Arial"/>
          <w:lang w:val="en-AU"/>
        </w:rPr>
        <w:t xml:space="preserve"> and water utility providers</w:t>
      </w:r>
      <w:r w:rsidR="3F8B5A5A" w:rsidRPr="28161178">
        <w:rPr>
          <w:rFonts w:ascii="Calibri" w:hAnsi="Calibri" w:cs="Arial"/>
          <w:lang w:val="en-AU"/>
        </w:rPr>
        <w:t xml:space="preserve"> and energy retailers</w:t>
      </w:r>
      <w:r w:rsidR="42D2DFBC" w:rsidRPr="28161178">
        <w:rPr>
          <w:rFonts w:ascii="Calibri" w:hAnsi="Calibri" w:cs="Arial"/>
          <w:lang w:val="en-AU"/>
        </w:rPr>
        <w:t xml:space="preserve">. </w:t>
      </w:r>
    </w:p>
    <w:p w14:paraId="566F7C03" w14:textId="77777777" w:rsidR="00B65D9D" w:rsidRDefault="00B65D9D" w:rsidP="00313FDE">
      <w:pPr>
        <w:pStyle w:val="Header"/>
        <w:widowControl/>
        <w:tabs>
          <w:tab w:val="clear" w:pos="4320"/>
          <w:tab w:val="clear" w:pos="8640"/>
        </w:tabs>
        <w:contextualSpacing/>
        <w:rPr>
          <w:rFonts w:ascii="Calibri" w:hAnsi="Calibri" w:cs="Arial"/>
          <w:szCs w:val="24"/>
          <w:lang w:val="en-AU"/>
        </w:rPr>
      </w:pPr>
    </w:p>
    <w:p w14:paraId="764D739A" w14:textId="642A48AA" w:rsidR="00C96457" w:rsidRPr="00A72ADF" w:rsidRDefault="00B65D9D" w:rsidP="00313FDE">
      <w:pPr>
        <w:pStyle w:val="Header"/>
        <w:widowControl/>
        <w:tabs>
          <w:tab w:val="clear" w:pos="4320"/>
          <w:tab w:val="clear" w:pos="8640"/>
        </w:tabs>
        <w:contextualSpacing/>
        <w:rPr>
          <w:rFonts w:ascii="Calibri" w:eastAsia="Calibri" w:hAnsi="Calibri" w:cs="Calibri"/>
        </w:rPr>
      </w:pPr>
      <w:r w:rsidRPr="14BE2A8B">
        <w:rPr>
          <w:rFonts w:ascii="Calibri" w:hAnsi="Calibri" w:cs="Arial"/>
          <w:lang w:val="en-AU"/>
        </w:rPr>
        <w:t xml:space="preserve">The ICRC </w:t>
      </w:r>
      <w:r w:rsidR="00F069FB" w:rsidRPr="14BE2A8B">
        <w:rPr>
          <w:rFonts w:ascii="Calibri" w:hAnsi="Calibri" w:cs="Arial"/>
          <w:lang w:val="en-AU"/>
        </w:rPr>
        <w:t>enforces</w:t>
      </w:r>
      <w:r w:rsidRPr="14BE2A8B">
        <w:rPr>
          <w:rFonts w:ascii="Calibri" w:hAnsi="Calibri" w:cs="Arial"/>
          <w:lang w:val="en-AU"/>
        </w:rPr>
        <w:t xml:space="preserve"> compliance with laws governing utility providers to ensure the service levels that Canberrans expect </w:t>
      </w:r>
      <w:r w:rsidR="00843BC6" w:rsidRPr="14BE2A8B">
        <w:rPr>
          <w:rFonts w:ascii="Calibri" w:hAnsi="Calibri" w:cs="Arial"/>
          <w:lang w:val="en-AU"/>
        </w:rPr>
        <w:t xml:space="preserve">for essential services are </w:t>
      </w:r>
      <w:r w:rsidR="00FD62A5" w:rsidRPr="14BE2A8B">
        <w:rPr>
          <w:rFonts w:ascii="Calibri" w:hAnsi="Calibri" w:cs="Arial"/>
          <w:lang w:val="en-AU"/>
        </w:rPr>
        <w:t>met</w:t>
      </w:r>
      <w:r w:rsidR="00843BC6" w:rsidRPr="14BE2A8B">
        <w:rPr>
          <w:rFonts w:ascii="Calibri" w:hAnsi="Calibri" w:cs="Arial"/>
          <w:lang w:val="en-AU"/>
        </w:rPr>
        <w:t xml:space="preserve"> </w:t>
      </w:r>
      <w:r w:rsidRPr="14BE2A8B">
        <w:rPr>
          <w:rFonts w:ascii="Calibri" w:hAnsi="Calibri" w:cs="Arial"/>
          <w:lang w:val="en-AU"/>
        </w:rPr>
        <w:t>for electricity</w:t>
      </w:r>
      <w:r w:rsidR="00843BC6" w:rsidRPr="14BE2A8B">
        <w:rPr>
          <w:rFonts w:ascii="Calibri" w:hAnsi="Calibri" w:cs="Arial"/>
          <w:lang w:val="en-AU"/>
        </w:rPr>
        <w:t xml:space="preserve">, </w:t>
      </w:r>
      <w:proofErr w:type="gramStart"/>
      <w:r w:rsidR="00843BC6" w:rsidRPr="14BE2A8B">
        <w:rPr>
          <w:rFonts w:ascii="Calibri" w:hAnsi="Calibri" w:cs="Arial"/>
          <w:lang w:val="en-AU"/>
        </w:rPr>
        <w:t>gas</w:t>
      </w:r>
      <w:proofErr w:type="gramEnd"/>
      <w:r w:rsidR="00843BC6" w:rsidRPr="14BE2A8B">
        <w:rPr>
          <w:rFonts w:ascii="Calibri" w:hAnsi="Calibri" w:cs="Arial"/>
          <w:lang w:val="en-AU"/>
        </w:rPr>
        <w:t xml:space="preserve"> and water</w:t>
      </w:r>
      <w:r w:rsidR="004400E3" w:rsidRPr="14BE2A8B">
        <w:rPr>
          <w:rFonts w:ascii="Calibri" w:hAnsi="Calibri" w:cs="Arial"/>
          <w:lang w:val="en-AU"/>
        </w:rPr>
        <w:t xml:space="preserve"> through the </w:t>
      </w:r>
      <w:r w:rsidR="004400E3" w:rsidRPr="14BE2A8B">
        <w:rPr>
          <w:rFonts w:ascii="Calibri" w:eastAsia="Calibri" w:hAnsi="Calibri" w:cs="Calibri"/>
          <w:i/>
          <w:iCs/>
        </w:rPr>
        <w:t>Consumer Protection Code</w:t>
      </w:r>
      <w:r w:rsidR="003003CE" w:rsidRPr="14BE2A8B">
        <w:rPr>
          <w:rFonts w:ascii="Calibri" w:eastAsia="Calibri" w:hAnsi="Calibri" w:cs="Calibri"/>
          <w:i/>
          <w:iCs/>
        </w:rPr>
        <w:t xml:space="preserve"> 2020 </w:t>
      </w:r>
      <w:r w:rsidR="003003CE" w:rsidRPr="14BE2A8B">
        <w:rPr>
          <w:rFonts w:ascii="Calibri" w:eastAsia="Calibri" w:hAnsi="Calibri" w:cs="Calibri"/>
        </w:rPr>
        <w:t>(Consumer Protection Code)</w:t>
      </w:r>
      <w:r w:rsidR="004400E3" w:rsidRPr="14BE2A8B">
        <w:rPr>
          <w:rFonts w:ascii="Calibri" w:eastAsia="Calibri" w:hAnsi="Calibri" w:cs="Calibri"/>
          <w:i/>
          <w:iCs/>
        </w:rPr>
        <w:t>.</w:t>
      </w:r>
      <w:r w:rsidR="00570484" w:rsidRPr="14BE2A8B">
        <w:rPr>
          <w:rFonts w:ascii="Calibri" w:hAnsi="Calibri" w:cs="Arial"/>
          <w:lang w:val="en-AU"/>
        </w:rPr>
        <w:t xml:space="preserve"> </w:t>
      </w:r>
      <w:r w:rsidR="004400E3" w:rsidRPr="14BE2A8B">
        <w:rPr>
          <w:rFonts w:ascii="Calibri" w:hAnsi="Calibri" w:cs="Arial"/>
          <w:lang w:val="en-AU"/>
        </w:rPr>
        <w:t xml:space="preserve">The ICRC also ensures </w:t>
      </w:r>
      <w:r w:rsidR="004400E3" w:rsidRPr="14BE2A8B">
        <w:rPr>
          <w:rFonts w:ascii="Calibri" w:eastAsia="Calibri" w:hAnsi="Calibri" w:cs="Calibri"/>
        </w:rPr>
        <w:t>licensed utilities and National Energy Retail Law (NERL) retailers in the ACT</w:t>
      </w:r>
      <w:r w:rsidR="004400E3" w:rsidRPr="14BE2A8B">
        <w:rPr>
          <w:rFonts w:ascii="Calibri" w:hAnsi="Calibri" w:cs="Arial"/>
          <w:lang w:val="en-AU"/>
        </w:rPr>
        <w:t xml:space="preserve"> are transparent in their marketing of price offerings, through the </w:t>
      </w:r>
      <w:r w:rsidR="004400E3" w:rsidRPr="14BE2A8B">
        <w:rPr>
          <w:rFonts w:ascii="Calibri" w:eastAsia="Calibri" w:hAnsi="Calibri" w:cs="Calibri"/>
          <w:i/>
          <w:iCs/>
        </w:rPr>
        <w:t>ACT Retail Electricity (Transparency and Comparability) Code 2020</w:t>
      </w:r>
      <w:r w:rsidR="00951F13" w:rsidRPr="14BE2A8B">
        <w:rPr>
          <w:rFonts w:ascii="Calibri" w:eastAsia="Calibri" w:hAnsi="Calibri" w:cs="Calibri"/>
          <w:i/>
          <w:iCs/>
        </w:rPr>
        <w:t xml:space="preserve"> </w:t>
      </w:r>
      <w:r w:rsidR="00951F13" w:rsidRPr="14BE2A8B">
        <w:rPr>
          <w:rFonts w:ascii="Calibri" w:eastAsia="Calibri" w:hAnsi="Calibri" w:cs="Calibri"/>
        </w:rPr>
        <w:t>(Transparency and Comparability Code)</w:t>
      </w:r>
      <w:r w:rsidR="004400E3" w:rsidRPr="14BE2A8B">
        <w:rPr>
          <w:rFonts w:ascii="Calibri" w:eastAsia="Calibri" w:hAnsi="Calibri" w:cs="Calibri"/>
          <w:i/>
          <w:iCs/>
        </w:rPr>
        <w:t>.</w:t>
      </w:r>
      <w:r w:rsidR="00A72ADF" w:rsidRPr="14BE2A8B">
        <w:rPr>
          <w:rFonts w:ascii="Calibri" w:eastAsia="Calibri" w:hAnsi="Calibri" w:cs="Calibri"/>
        </w:rPr>
        <w:t xml:space="preserve"> </w:t>
      </w:r>
      <w:r w:rsidR="007A6759" w:rsidRPr="14BE2A8B">
        <w:rPr>
          <w:rFonts w:ascii="Calibri" w:eastAsia="Calibri" w:hAnsi="Calibri" w:cs="Calibri"/>
        </w:rPr>
        <w:t>A</w:t>
      </w:r>
      <w:r w:rsidR="00D34611" w:rsidRPr="14BE2A8B">
        <w:rPr>
          <w:rFonts w:ascii="Calibri" w:eastAsia="Calibri" w:hAnsi="Calibri" w:cs="Calibri"/>
        </w:rPr>
        <w:t xml:space="preserve"> </w:t>
      </w:r>
      <w:r w:rsidR="00A72ADF" w:rsidRPr="14BE2A8B">
        <w:rPr>
          <w:rFonts w:ascii="Calibri" w:eastAsia="Calibri" w:hAnsi="Calibri" w:cs="Calibri"/>
        </w:rPr>
        <w:t>NERL</w:t>
      </w:r>
      <w:r w:rsidR="00072B19" w:rsidRPr="14BE2A8B">
        <w:rPr>
          <w:rFonts w:ascii="Calibri" w:eastAsia="Calibri" w:hAnsi="Calibri" w:cs="Calibri"/>
        </w:rPr>
        <w:t xml:space="preserve"> </w:t>
      </w:r>
      <w:r w:rsidR="007A6759" w:rsidRPr="14BE2A8B">
        <w:rPr>
          <w:rFonts w:ascii="Calibri" w:eastAsia="Calibri" w:hAnsi="Calibri" w:cs="Calibri"/>
        </w:rPr>
        <w:t xml:space="preserve">retailer </w:t>
      </w:r>
      <w:r w:rsidR="00B168C2" w:rsidRPr="14BE2A8B">
        <w:rPr>
          <w:rFonts w:ascii="Calibri" w:eastAsia="Calibri" w:hAnsi="Calibri" w:cs="Calibri"/>
        </w:rPr>
        <w:t>refers to</w:t>
      </w:r>
      <w:r w:rsidR="00355EFE" w:rsidRPr="14BE2A8B">
        <w:rPr>
          <w:rFonts w:ascii="Calibri" w:eastAsia="Calibri" w:hAnsi="Calibri" w:cs="Calibri"/>
        </w:rPr>
        <w:t xml:space="preserve"> a retailer</w:t>
      </w:r>
      <w:r w:rsidR="00C45393" w:rsidRPr="14BE2A8B">
        <w:rPr>
          <w:rFonts w:ascii="Calibri" w:eastAsia="Calibri" w:hAnsi="Calibri" w:cs="Calibri"/>
        </w:rPr>
        <w:t xml:space="preserve"> that </w:t>
      </w:r>
      <w:r w:rsidR="00BD4E4F" w:rsidRPr="14BE2A8B">
        <w:rPr>
          <w:rFonts w:ascii="Calibri" w:eastAsia="Calibri" w:hAnsi="Calibri" w:cs="Calibri"/>
        </w:rPr>
        <w:t>has obtained a retailer authorisation from the AER</w:t>
      </w:r>
      <w:r w:rsidR="005119F8" w:rsidRPr="14BE2A8B">
        <w:rPr>
          <w:rFonts w:ascii="Calibri" w:eastAsia="Calibri" w:hAnsi="Calibri" w:cs="Calibri"/>
        </w:rPr>
        <w:t>,</w:t>
      </w:r>
      <w:r w:rsidR="00BD4E4F" w:rsidRPr="14BE2A8B">
        <w:rPr>
          <w:rFonts w:ascii="Calibri" w:eastAsia="Calibri" w:hAnsi="Calibri" w:cs="Calibri"/>
        </w:rPr>
        <w:t xml:space="preserve"> </w:t>
      </w:r>
      <w:r w:rsidR="000C7289" w:rsidRPr="14BE2A8B">
        <w:rPr>
          <w:rFonts w:ascii="Calibri" w:eastAsia="Calibri" w:hAnsi="Calibri" w:cs="Calibri"/>
        </w:rPr>
        <w:t xml:space="preserve">which allows them to engage in the </w:t>
      </w:r>
      <w:r w:rsidR="00072B19" w:rsidRPr="14BE2A8B">
        <w:rPr>
          <w:rFonts w:ascii="Calibri" w:eastAsia="Calibri" w:hAnsi="Calibri" w:cs="Calibri"/>
        </w:rPr>
        <w:t>sell</w:t>
      </w:r>
      <w:r w:rsidR="000C7289" w:rsidRPr="14BE2A8B">
        <w:rPr>
          <w:rFonts w:ascii="Calibri" w:eastAsia="Calibri" w:hAnsi="Calibri" w:cs="Calibri"/>
        </w:rPr>
        <w:t>ing of</w:t>
      </w:r>
      <w:r w:rsidR="00072B19" w:rsidRPr="14BE2A8B">
        <w:rPr>
          <w:rFonts w:ascii="Calibri" w:eastAsia="Calibri" w:hAnsi="Calibri" w:cs="Calibri"/>
        </w:rPr>
        <w:t xml:space="preserve"> energy (electricity or gas)</w:t>
      </w:r>
      <w:r w:rsidR="00A47A08" w:rsidRPr="14BE2A8B">
        <w:rPr>
          <w:rFonts w:ascii="Calibri" w:eastAsia="Calibri" w:hAnsi="Calibri" w:cs="Calibri"/>
        </w:rPr>
        <w:t xml:space="preserve"> </w:t>
      </w:r>
      <w:r w:rsidR="008E127D" w:rsidRPr="14BE2A8B">
        <w:rPr>
          <w:rFonts w:ascii="Calibri" w:eastAsia="Calibri" w:hAnsi="Calibri" w:cs="Calibri"/>
        </w:rPr>
        <w:t>under the NERL</w:t>
      </w:r>
      <w:r w:rsidR="00D34611" w:rsidRPr="14BE2A8B">
        <w:rPr>
          <w:rFonts w:ascii="Calibri" w:eastAsia="Calibri" w:hAnsi="Calibri" w:cs="Calibri"/>
        </w:rPr>
        <w:t>.</w:t>
      </w:r>
      <w:r w:rsidR="00A72ADF" w:rsidRPr="14BE2A8B">
        <w:rPr>
          <w:rFonts w:ascii="Calibri" w:eastAsia="Calibri" w:hAnsi="Calibri" w:cs="Calibri"/>
        </w:rPr>
        <w:t xml:space="preserve"> </w:t>
      </w:r>
    </w:p>
    <w:p w14:paraId="51AE442D" w14:textId="2E160A20" w:rsidR="00147CEA" w:rsidRDefault="00147CEA" w:rsidP="00E255ED">
      <w:pPr>
        <w:pStyle w:val="Header"/>
        <w:widowControl/>
        <w:tabs>
          <w:tab w:val="clear" w:pos="4320"/>
          <w:tab w:val="clear" w:pos="8640"/>
        </w:tabs>
        <w:contextualSpacing/>
        <w:rPr>
          <w:rFonts w:ascii="Calibri" w:hAnsi="Calibri" w:cs="Arial"/>
          <w:lang w:val="en-AU"/>
        </w:rPr>
      </w:pPr>
    </w:p>
    <w:p w14:paraId="2CF0B42D" w14:textId="0A61E376" w:rsidR="00E255ED" w:rsidRPr="00E659D6" w:rsidRDefault="00D93108" w:rsidP="008C7DA0">
      <w:pPr>
        <w:pStyle w:val="Header"/>
        <w:widowControl/>
        <w:tabs>
          <w:tab w:val="clear" w:pos="4320"/>
          <w:tab w:val="clear" w:pos="8640"/>
        </w:tabs>
        <w:spacing w:line="259" w:lineRule="auto"/>
        <w:contextualSpacing/>
        <w:rPr>
          <w:rFonts w:ascii="Calibri" w:hAnsi="Calibri" w:cs="Arial"/>
        </w:rPr>
      </w:pPr>
      <w:r w:rsidRPr="1210F342">
        <w:rPr>
          <w:rFonts w:ascii="Calibri" w:hAnsi="Calibri" w:cs="Arial"/>
          <w:lang w:val="en-AU"/>
        </w:rPr>
        <w:t xml:space="preserve">The obligation to provide </w:t>
      </w:r>
      <w:r w:rsidR="0019684C" w:rsidRPr="1210F342">
        <w:rPr>
          <w:rFonts w:ascii="Calibri" w:hAnsi="Calibri" w:cs="Arial"/>
          <w:lang w:val="en-AU"/>
        </w:rPr>
        <w:t>g</w:t>
      </w:r>
      <w:r w:rsidR="00F6446C" w:rsidRPr="1210F342">
        <w:rPr>
          <w:rFonts w:ascii="Calibri" w:hAnsi="Calibri" w:cs="Arial"/>
          <w:lang w:val="en-AU"/>
        </w:rPr>
        <w:t>uaranteed service level</w:t>
      </w:r>
      <w:r w:rsidR="00A57D1A" w:rsidRPr="1210F342">
        <w:rPr>
          <w:rFonts w:ascii="Calibri" w:hAnsi="Calibri" w:cs="Arial"/>
          <w:lang w:val="en-AU"/>
        </w:rPr>
        <w:t xml:space="preserve">s </w:t>
      </w:r>
      <w:r w:rsidR="0019684C" w:rsidRPr="1210F342">
        <w:rPr>
          <w:rFonts w:ascii="Calibri" w:hAnsi="Calibri" w:cs="Arial"/>
          <w:lang w:val="en-AU"/>
        </w:rPr>
        <w:t xml:space="preserve">is contained in </w:t>
      </w:r>
      <w:r w:rsidR="00A57D1A" w:rsidRPr="1210F342">
        <w:rPr>
          <w:rFonts w:ascii="Calibri" w:hAnsi="Calibri" w:cs="Arial"/>
          <w:lang w:val="en-AU"/>
        </w:rPr>
        <w:t>the Consumer Protection Code and require</w:t>
      </w:r>
      <w:r w:rsidR="0019684C" w:rsidRPr="1210F342">
        <w:rPr>
          <w:rFonts w:ascii="Calibri" w:hAnsi="Calibri" w:cs="Arial"/>
          <w:lang w:val="en-AU"/>
        </w:rPr>
        <w:t>s</w:t>
      </w:r>
      <w:r w:rsidR="002A39A2" w:rsidRPr="1210F342">
        <w:rPr>
          <w:rFonts w:ascii="Calibri" w:hAnsi="Calibri" w:cs="Arial"/>
          <w:lang w:val="en-AU"/>
        </w:rPr>
        <w:t xml:space="preserve"> </w:t>
      </w:r>
      <w:r w:rsidR="00110886" w:rsidRPr="1210F342">
        <w:rPr>
          <w:rFonts w:ascii="Calibri" w:hAnsi="Calibri" w:cs="Arial"/>
          <w:lang w:val="en-AU"/>
        </w:rPr>
        <w:t xml:space="preserve">utilities and </w:t>
      </w:r>
      <w:r w:rsidR="0019684C" w:rsidRPr="1210F342">
        <w:rPr>
          <w:rFonts w:ascii="Calibri" w:hAnsi="Calibri" w:cs="Arial"/>
          <w:lang w:val="en-AU"/>
        </w:rPr>
        <w:t>energy</w:t>
      </w:r>
      <w:r w:rsidR="00110886" w:rsidRPr="1210F342">
        <w:rPr>
          <w:rFonts w:ascii="Calibri" w:hAnsi="Calibri" w:cs="Arial"/>
          <w:lang w:val="en-AU"/>
        </w:rPr>
        <w:t xml:space="preserve"> retailers</w:t>
      </w:r>
      <w:r w:rsidR="00EA6F29" w:rsidRPr="1210F342">
        <w:rPr>
          <w:rFonts w:ascii="Calibri" w:hAnsi="Calibri" w:cs="Arial"/>
          <w:lang w:val="en-AU"/>
        </w:rPr>
        <w:t xml:space="preserve"> to pay affected customers </w:t>
      </w:r>
      <w:r w:rsidR="00CF7707" w:rsidRPr="1210F342">
        <w:rPr>
          <w:rFonts w:ascii="Calibri" w:hAnsi="Calibri" w:cs="Arial"/>
          <w:lang w:val="en-AU"/>
        </w:rPr>
        <w:t>for failing to meet</w:t>
      </w:r>
      <w:r w:rsidR="00882AC5" w:rsidRPr="1210F342">
        <w:rPr>
          <w:rFonts w:ascii="Calibri" w:hAnsi="Calibri" w:cs="Arial"/>
          <w:lang w:val="en-AU"/>
        </w:rPr>
        <w:t xml:space="preserve"> the</w:t>
      </w:r>
      <w:r w:rsidR="00EA6F29" w:rsidRPr="1210F342">
        <w:rPr>
          <w:rFonts w:ascii="Calibri" w:hAnsi="Calibri" w:cs="Arial"/>
          <w:lang w:val="en-AU"/>
        </w:rPr>
        <w:t xml:space="preserve"> guarant</w:t>
      </w:r>
      <w:r w:rsidR="00930062" w:rsidRPr="1210F342">
        <w:rPr>
          <w:rFonts w:ascii="Calibri" w:hAnsi="Calibri" w:cs="Arial"/>
          <w:lang w:val="en-AU"/>
        </w:rPr>
        <w:t>eed service levels</w:t>
      </w:r>
      <w:r w:rsidR="00136788" w:rsidRPr="1210F342">
        <w:rPr>
          <w:rFonts w:ascii="Calibri" w:hAnsi="Calibri" w:cs="Arial"/>
          <w:lang w:val="en-AU"/>
        </w:rPr>
        <w:t xml:space="preserve">. </w:t>
      </w:r>
      <w:r w:rsidR="00587E63" w:rsidRPr="1210F342">
        <w:rPr>
          <w:rFonts w:ascii="Calibri" w:hAnsi="Calibri" w:cs="Arial"/>
          <w:lang w:val="en-AU"/>
        </w:rPr>
        <w:t xml:space="preserve">In practice, </w:t>
      </w:r>
      <w:r w:rsidR="0026503F" w:rsidRPr="1210F342">
        <w:rPr>
          <w:rFonts w:ascii="Calibri" w:hAnsi="Calibri" w:cs="Arial"/>
          <w:lang w:val="en-AU"/>
        </w:rPr>
        <w:t>th</w:t>
      </w:r>
      <w:r w:rsidR="75992D5B" w:rsidRPr="1210F342">
        <w:rPr>
          <w:rFonts w:ascii="Calibri" w:hAnsi="Calibri" w:cs="Arial"/>
          <w:lang w:val="en-AU"/>
        </w:rPr>
        <w:t>is</w:t>
      </w:r>
      <w:r w:rsidR="0026503F" w:rsidRPr="1210F342">
        <w:rPr>
          <w:rFonts w:ascii="Calibri" w:hAnsi="Calibri" w:cs="Arial"/>
          <w:lang w:val="en-AU"/>
        </w:rPr>
        <w:t xml:space="preserve"> means that </w:t>
      </w:r>
      <w:r w:rsidR="002835CC" w:rsidRPr="1210F342">
        <w:rPr>
          <w:rFonts w:ascii="Calibri" w:hAnsi="Calibri" w:cs="Arial"/>
          <w:lang w:val="en-AU"/>
        </w:rPr>
        <w:t>new</w:t>
      </w:r>
      <w:r w:rsidR="004162ED" w:rsidRPr="1210F342">
        <w:rPr>
          <w:rFonts w:ascii="Calibri" w:hAnsi="Calibri" w:cs="Arial"/>
          <w:lang w:val="en-AU"/>
        </w:rPr>
        <w:t xml:space="preserve"> connection</w:t>
      </w:r>
      <w:r w:rsidR="002835CC" w:rsidRPr="1210F342">
        <w:rPr>
          <w:rFonts w:ascii="Calibri" w:hAnsi="Calibri" w:cs="Arial"/>
          <w:lang w:val="en-AU"/>
        </w:rPr>
        <w:t>s must be provided in a reasonable time</w:t>
      </w:r>
      <w:r w:rsidR="007501F0" w:rsidRPr="1210F342">
        <w:rPr>
          <w:rFonts w:ascii="Calibri" w:hAnsi="Calibri" w:cs="Arial"/>
          <w:lang w:val="en-AU"/>
        </w:rPr>
        <w:t xml:space="preserve">, </w:t>
      </w:r>
      <w:r w:rsidR="4539F89B" w:rsidRPr="1210F342">
        <w:rPr>
          <w:rFonts w:ascii="Calibri" w:hAnsi="Calibri" w:cs="Arial"/>
          <w:lang w:val="en-AU"/>
        </w:rPr>
        <w:t xml:space="preserve">unplanned </w:t>
      </w:r>
      <w:r w:rsidR="007501F0" w:rsidRPr="1210F342">
        <w:rPr>
          <w:rFonts w:ascii="Calibri" w:hAnsi="Calibri" w:cs="Arial"/>
          <w:lang w:val="en-AU"/>
        </w:rPr>
        <w:t xml:space="preserve">interruptions </w:t>
      </w:r>
      <w:r w:rsidR="002E36B5" w:rsidRPr="1210F342">
        <w:rPr>
          <w:rFonts w:ascii="Calibri" w:hAnsi="Calibri" w:cs="Arial"/>
          <w:lang w:val="en-AU"/>
        </w:rPr>
        <w:t xml:space="preserve">to </w:t>
      </w:r>
      <w:r w:rsidR="00B56E2E" w:rsidRPr="1210F342">
        <w:rPr>
          <w:rFonts w:ascii="Calibri" w:hAnsi="Calibri" w:cs="Arial"/>
          <w:lang w:val="en-AU"/>
        </w:rPr>
        <w:t xml:space="preserve">supply must </w:t>
      </w:r>
      <w:r w:rsidR="007501F0" w:rsidRPr="1210F342">
        <w:rPr>
          <w:rFonts w:ascii="Calibri" w:hAnsi="Calibri" w:cs="Arial"/>
          <w:lang w:val="en-AU"/>
        </w:rPr>
        <w:t>not exceed 12 hours</w:t>
      </w:r>
      <w:r w:rsidR="004162ED" w:rsidRPr="1210F342">
        <w:rPr>
          <w:rFonts w:ascii="Calibri" w:hAnsi="Calibri" w:cs="Arial"/>
          <w:lang w:val="en-AU"/>
        </w:rPr>
        <w:t xml:space="preserve"> </w:t>
      </w:r>
      <w:r w:rsidR="001F4048" w:rsidRPr="1210F342">
        <w:rPr>
          <w:rFonts w:ascii="Calibri" w:hAnsi="Calibri" w:cs="Arial"/>
          <w:lang w:val="en-AU"/>
        </w:rPr>
        <w:t xml:space="preserve">and </w:t>
      </w:r>
      <w:r w:rsidR="002C75E0" w:rsidRPr="1210F342">
        <w:rPr>
          <w:rFonts w:ascii="Calibri" w:hAnsi="Calibri" w:cs="Arial"/>
          <w:lang w:val="en-AU"/>
        </w:rPr>
        <w:t>customers</w:t>
      </w:r>
      <w:r w:rsidR="00B56E2E" w:rsidRPr="1210F342">
        <w:rPr>
          <w:rFonts w:ascii="Calibri" w:hAnsi="Calibri" w:cs="Arial"/>
          <w:lang w:val="en-AU"/>
        </w:rPr>
        <w:t xml:space="preserve"> are notified</w:t>
      </w:r>
      <w:r w:rsidR="002C75E0" w:rsidRPr="1210F342">
        <w:rPr>
          <w:rFonts w:ascii="Calibri" w:hAnsi="Calibri" w:cs="Arial"/>
          <w:lang w:val="en-AU"/>
        </w:rPr>
        <w:t xml:space="preserve"> </w:t>
      </w:r>
      <w:r w:rsidR="008F550D" w:rsidRPr="1210F342">
        <w:rPr>
          <w:rFonts w:ascii="Calibri" w:hAnsi="Calibri" w:cs="Arial"/>
          <w:lang w:val="en-AU"/>
        </w:rPr>
        <w:t xml:space="preserve">at least </w:t>
      </w:r>
      <w:r w:rsidR="002C75E0" w:rsidRPr="1210F342">
        <w:rPr>
          <w:rFonts w:ascii="Calibri" w:hAnsi="Calibri" w:cs="Arial"/>
          <w:lang w:val="en-AU"/>
        </w:rPr>
        <w:t xml:space="preserve">4 </w:t>
      </w:r>
      <w:r w:rsidR="00CF7B59" w:rsidRPr="1210F342">
        <w:rPr>
          <w:rFonts w:ascii="Calibri" w:hAnsi="Calibri" w:cs="Arial"/>
          <w:lang w:val="en-AU"/>
        </w:rPr>
        <w:t xml:space="preserve">business days </w:t>
      </w:r>
      <w:r w:rsidR="008F550D" w:rsidRPr="1210F342">
        <w:rPr>
          <w:rFonts w:ascii="Calibri" w:hAnsi="Calibri" w:cs="Arial"/>
          <w:lang w:val="en-AU"/>
        </w:rPr>
        <w:t xml:space="preserve">in advance of any planned </w:t>
      </w:r>
      <w:r w:rsidR="00962A80" w:rsidRPr="1210F342">
        <w:rPr>
          <w:rFonts w:ascii="Calibri" w:hAnsi="Calibri" w:cs="Arial"/>
          <w:lang w:val="en-AU"/>
        </w:rPr>
        <w:t xml:space="preserve">service </w:t>
      </w:r>
      <w:r w:rsidR="00052FE2" w:rsidRPr="1210F342">
        <w:rPr>
          <w:rFonts w:ascii="Calibri" w:hAnsi="Calibri" w:cs="Arial"/>
          <w:lang w:val="en-AU"/>
        </w:rPr>
        <w:t>interruptions</w:t>
      </w:r>
      <w:r w:rsidR="00962A80" w:rsidRPr="1210F342">
        <w:rPr>
          <w:rFonts w:ascii="Calibri" w:hAnsi="Calibri" w:cs="Arial"/>
          <w:lang w:val="en-AU"/>
        </w:rPr>
        <w:t>.</w:t>
      </w:r>
    </w:p>
    <w:p w14:paraId="54EE0A1B" w14:textId="287AA7FD" w:rsidR="1210F342" w:rsidRDefault="1210F342" w:rsidP="1210F342">
      <w:pPr>
        <w:pStyle w:val="Header"/>
        <w:widowControl/>
        <w:tabs>
          <w:tab w:val="clear" w:pos="4320"/>
          <w:tab w:val="clear" w:pos="8640"/>
        </w:tabs>
        <w:spacing w:line="259" w:lineRule="auto"/>
        <w:contextualSpacing/>
        <w:rPr>
          <w:rFonts w:ascii="Calibri" w:hAnsi="Calibri" w:cs="Arial"/>
          <w:lang w:val="en-AU"/>
        </w:rPr>
      </w:pPr>
    </w:p>
    <w:p w14:paraId="7045E04A" w14:textId="27C226B0" w:rsidR="05F3AECE" w:rsidRDefault="05F3AECE" w:rsidP="14BE2A8B">
      <w:pPr>
        <w:rPr>
          <w:color w:val="0078D4"/>
          <w:u w:val="single"/>
        </w:rPr>
      </w:pPr>
      <w:r w:rsidRPr="14BE2A8B">
        <w:rPr>
          <w:rFonts w:ascii="Calibri" w:hAnsi="Calibri" w:cs="Arial"/>
        </w:rPr>
        <w:t xml:space="preserve">Failures to meet the guaranteed service levels </w:t>
      </w:r>
      <w:r w:rsidR="672F9B5C" w:rsidRPr="14BE2A8B">
        <w:rPr>
          <w:rFonts w:ascii="Calibri" w:hAnsi="Calibri" w:cs="Arial"/>
        </w:rPr>
        <w:t xml:space="preserve">by the utility providers can result in negative outcomes for consumers. </w:t>
      </w:r>
      <w:r w:rsidR="49D44022" w:rsidRPr="14BE2A8B">
        <w:rPr>
          <w:rFonts w:ascii="Calibri" w:hAnsi="Calibri" w:cs="Arial"/>
        </w:rPr>
        <w:t>For example, d</w:t>
      </w:r>
      <w:r w:rsidR="66FBDC73" w:rsidRPr="14BE2A8B">
        <w:rPr>
          <w:rFonts w:ascii="Calibri" w:hAnsi="Calibri" w:cs="Arial"/>
        </w:rPr>
        <w:t xml:space="preserve">elays in providing new electricity connections can </w:t>
      </w:r>
      <w:r w:rsidR="3384A645" w:rsidRPr="14BE2A8B">
        <w:rPr>
          <w:rFonts w:ascii="Calibri" w:hAnsi="Calibri" w:cs="Arial"/>
        </w:rPr>
        <w:t>cause significant discomfort and</w:t>
      </w:r>
      <w:r w:rsidR="66FBDC73" w:rsidRPr="14BE2A8B">
        <w:rPr>
          <w:rFonts w:ascii="Calibri" w:hAnsi="Calibri" w:cs="Arial"/>
        </w:rPr>
        <w:t xml:space="preserve"> interrup</w:t>
      </w:r>
      <w:r w:rsidR="2FD4FED4" w:rsidRPr="14BE2A8B">
        <w:rPr>
          <w:rFonts w:ascii="Calibri" w:hAnsi="Calibri" w:cs="Arial"/>
        </w:rPr>
        <w:t>tion</w:t>
      </w:r>
      <w:r w:rsidR="66FBDC73" w:rsidRPr="14BE2A8B">
        <w:rPr>
          <w:rFonts w:ascii="Calibri" w:hAnsi="Calibri" w:cs="Arial"/>
        </w:rPr>
        <w:t xml:space="preserve"> to the life of </w:t>
      </w:r>
      <w:r w:rsidR="225D6DED" w:rsidRPr="14BE2A8B">
        <w:rPr>
          <w:rFonts w:ascii="Calibri" w:hAnsi="Calibri" w:cs="Arial"/>
        </w:rPr>
        <w:t>customers</w:t>
      </w:r>
      <w:r w:rsidR="59C1AFC4" w:rsidRPr="14BE2A8B">
        <w:rPr>
          <w:rFonts w:ascii="Calibri" w:hAnsi="Calibri" w:cs="Arial"/>
        </w:rPr>
        <w:t xml:space="preserve">, such as </w:t>
      </w:r>
      <w:r w:rsidR="4414C51C" w:rsidRPr="14BE2A8B">
        <w:rPr>
          <w:rFonts w:ascii="Calibri" w:hAnsi="Calibri" w:cs="Arial"/>
        </w:rPr>
        <w:t xml:space="preserve">inability to source heating </w:t>
      </w:r>
      <w:r w:rsidR="44961F0E" w:rsidRPr="14BE2A8B">
        <w:rPr>
          <w:rFonts w:ascii="Calibri" w:hAnsi="Calibri" w:cs="Arial"/>
        </w:rPr>
        <w:t>in a cold winter</w:t>
      </w:r>
      <w:r w:rsidR="17FEF5D7" w:rsidRPr="14BE2A8B">
        <w:rPr>
          <w:rFonts w:ascii="Calibri" w:hAnsi="Calibri" w:cs="Arial"/>
        </w:rPr>
        <w:t>.</w:t>
      </w:r>
      <w:r w:rsidR="440AF158" w:rsidRPr="14BE2A8B">
        <w:rPr>
          <w:rFonts w:ascii="Calibri" w:hAnsi="Calibri" w:cs="Arial"/>
        </w:rPr>
        <w:t xml:space="preserve"> </w:t>
      </w:r>
    </w:p>
    <w:p w14:paraId="0CB39238" w14:textId="7D2F997B" w:rsidR="1210F342" w:rsidRDefault="1210F342" w:rsidP="1210F342">
      <w:pPr>
        <w:rPr>
          <w:rFonts w:ascii="Calibri" w:eastAsia="Calibri" w:hAnsi="Calibri" w:cs="Calibri"/>
        </w:rPr>
      </w:pPr>
    </w:p>
    <w:p w14:paraId="16D20BB1" w14:textId="673D8384" w:rsidR="1740100B" w:rsidRDefault="1740100B">
      <w:pPr>
        <w:rPr>
          <w:rFonts w:ascii="Calibri" w:eastAsia="Calibri" w:hAnsi="Calibri" w:cs="Calibri"/>
        </w:rPr>
      </w:pPr>
      <w:r w:rsidRPr="14BE2A8B">
        <w:rPr>
          <w:rFonts w:ascii="Calibri" w:eastAsia="Calibri" w:hAnsi="Calibri" w:cs="Calibri"/>
        </w:rPr>
        <w:t xml:space="preserve">Further, </w:t>
      </w:r>
      <w:r w:rsidR="1732BEBC" w:rsidRPr="14BE2A8B">
        <w:rPr>
          <w:rFonts w:ascii="Calibri" w:eastAsia="Calibri" w:hAnsi="Calibri" w:cs="Calibri"/>
        </w:rPr>
        <w:t xml:space="preserve">NERL retailers are </w:t>
      </w:r>
      <w:r w:rsidR="7A2B3376" w:rsidRPr="14BE2A8B">
        <w:rPr>
          <w:rFonts w:ascii="Calibri" w:eastAsia="Calibri" w:hAnsi="Calibri" w:cs="Calibri"/>
        </w:rPr>
        <w:t>obliged</w:t>
      </w:r>
      <w:r w:rsidR="1732BEBC" w:rsidRPr="14BE2A8B">
        <w:rPr>
          <w:rFonts w:ascii="Calibri" w:eastAsia="Calibri" w:hAnsi="Calibri" w:cs="Calibri"/>
        </w:rPr>
        <w:t xml:space="preserve"> to</w:t>
      </w:r>
      <w:r w:rsidR="6679449F" w:rsidRPr="14BE2A8B">
        <w:rPr>
          <w:rFonts w:ascii="Calibri" w:eastAsia="Calibri" w:hAnsi="Calibri" w:cs="Calibri"/>
        </w:rPr>
        <w:t xml:space="preserve"> provide </w:t>
      </w:r>
      <w:r w:rsidR="0B1E56CF" w:rsidRPr="14BE2A8B">
        <w:rPr>
          <w:rFonts w:ascii="Calibri" w:eastAsia="Calibri" w:hAnsi="Calibri" w:cs="Calibri"/>
        </w:rPr>
        <w:t>clear</w:t>
      </w:r>
      <w:r w:rsidR="1DAE2CE4" w:rsidRPr="14BE2A8B">
        <w:rPr>
          <w:rFonts w:ascii="Calibri" w:eastAsia="Calibri" w:hAnsi="Calibri" w:cs="Calibri"/>
        </w:rPr>
        <w:t xml:space="preserve">, timely </w:t>
      </w:r>
      <w:r w:rsidR="1C4B2B8C" w:rsidRPr="14BE2A8B">
        <w:rPr>
          <w:rFonts w:ascii="Calibri" w:eastAsia="Calibri" w:hAnsi="Calibri" w:cs="Calibri"/>
        </w:rPr>
        <w:t xml:space="preserve">and reliable information to assist customers </w:t>
      </w:r>
      <w:r w:rsidR="7FBD1DAC" w:rsidRPr="14BE2A8B">
        <w:rPr>
          <w:rFonts w:ascii="Calibri" w:eastAsia="Calibri" w:hAnsi="Calibri" w:cs="Calibri"/>
        </w:rPr>
        <w:t>to make it easier for consumers to compare offers</w:t>
      </w:r>
      <w:r w:rsidR="3392AA17" w:rsidRPr="14BE2A8B">
        <w:rPr>
          <w:rFonts w:ascii="Calibri" w:eastAsia="Calibri" w:hAnsi="Calibri" w:cs="Calibri"/>
        </w:rPr>
        <w:t xml:space="preserve">. A failure </w:t>
      </w:r>
      <w:r w:rsidR="005244AC" w:rsidRPr="14BE2A8B">
        <w:rPr>
          <w:rFonts w:ascii="Calibri" w:eastAsia="Calibri" w:hAnsi="Calibri" w:cs="Calibri"/>
        </w:rPr>
        <w:t>by</w:t>
      </w:r>
      <w:r w:rsidR="211134BE" w:rsidRPr="14BE2A8B">
        <w:rPr>
          <w:rFonts w:ascii="Calibri" w:eastAsia="Calibri" w:hAnsi="Calibri" w:cs="Calibri"/>
        </w:rPr>
        <w:t xml:space="preserve"> retailers </w:t>
      </w:r>
      <w:r w:rsidR="4CC90A33" w:rsidRPr="14BE2A8B">
        <w:rPr>
          <w:rFonts w:ascii="Calibri" w:eastAsia="Calibri" w:hAnsi="Calibri" w:cs="Calibri"/>
        </w:rPr>
        <w:t>to comply with this obligation (</w:t>
      </w:r>
      <w:proofErr w:type="gramStart"/>
      <w:r w:rsidR="4CC90A33" w:rsidRPr="14BE2A8B">
        <w:rPr>
          <w:rFonts w:ascii="Calibri" w:eastAsia="Calibri" w:hAnsi="Calibri" w:cs="Calibri"/>
        </w:rPr>
        <w:t>e.g.</w:t>
      </w:r>
      <w:proofErr w:type="gramEnd"/>
      <w:r w:rsidR="4CC90A33" w:rsidRPr="14BE2A8B">
        <w:rPr>
          <w:rFonts w:ascii="Calibri" w:eastAsia="Calibri" w:hAnsi="Calibri" w:cs="Calibri"/>
        </w:rPr>
        <w:t xml:space="preserve"> </w:t>
      </w:r>
      <w:r w:rsidR="60551D24" w:rsidRPr="14BE2A8B">
        <w:rPr>
          <w:rFonts w:ascii="Calibri" w:eastAsia="Calibri" w:hAnsi="Calibri" w:cs="Calibri"/>
        </w:rPr>
        <w:t>not appropriately communi</w:t>
      </w:r>
      <w:r w:rsidR="38990A2B" w:rsidRPr="14BE2A8B">
        <w:rPr>
          <w:rFonts w:ascii="Calibri" w:eastAsia="Calibri" w:hAnsi="Calibri" w:cs="Calibri"/>
        </w:rPr>
        <w:t>ca</w:t>
      </w:r>
      <w:r w:rsidR="60551D24" w:rsidRPr="14BE2A8B">
        <w:rPr>
          <w:rFonts w:ascii="Calibri" w:eastAsia="Calibri" w:hAnsi="Calibri" w:cs="Calibri"/>
        </w:rPr>
        <w:t>ting the electricity reference price in advertising</w:t>
      </w:r>
      <w:r w:rsidR="4CC90A33" w:rsidRPr="14BE2A8B">
        <w:rPr>
          <w:rFonts w:ascii="Calibri" w:eastAsia="Calibri" w:hAnsi="Calibri" w:cs="Calibri"/>
        </w:rPr>
        <w:t xml:space="preserve">) can </w:t>
      </w:r>
      <w:r w:rsidR="00039580" w:rsidRPr="14BE2A8B">
        <w:rPr>
          <w:rFonts w:ascii="Calibri" w:eastAsia="Calibri" w:hAnsi="Calibri" w:cs="Calibri"/>
        </w:rPr>
        <w:t>limit</w:t>
      </w:r>
      <w:r w:rsidR="4CC90A33" w:rsidRPr="14BE2A8B">
        <w:rPr>
          <w:rFonts w:ascii="Calibri" w:eastAsia="Calibri" w:hAnsi="Calibri" w:cs="Calibri"/>
        </w:rPr>
        <w:t xml:space="preserve"> consumers’ ability to save money on their energy bills</w:t>
      </w:r>
      <w:r w:rsidR="73FCEEED" w:rsidRPr="14BE2A8B">
        <w:rPr>
          <w:rFonts w:ascii="Calibri" w:eastAsia="Calibri" w:hAnsi="Calibri" w:cs="Calibri"/>
        </w:rPr>
        <w:t xml:space="preserve"> and lessen price competition in the market</w:t>
      </w:r>
      <w:r w:rsidR="7BF65128" w:rsidRPr="14BE2A8B">
        <w:rPr>
          <w:rFonts w:ascii="Calibri" w:eastAsia="Calibri" w:hAnsi="Calibri" w:cs="Calibri"/>
        </w:rPr>
        <w:t>.</w:t>
      </w:r>
      <w:r w:rsidR="211134BE" w:rsidRPr="14BE2A8B">
        <w:rPr>
          <w:rFonts w:ascii="Calibri" w:eastAsia="Calibri" w:hAnsi="Calibri" w:cs="Calibri"/>
        </w:rPr>
        <w:t xml:space="preserve"> </w:t>
      </w:r>
    </w:p>
    <w:p w14:paraId="551703E2" w14:textId="77777777" w:rsidR="005244AC" w:rsidRDefault="005244AC" w:rsidP="005244AC">
      <w:pPr>
        <w:rPr>
          <w:rFonts w:ascii="Calibri" w:eastAsia="Calibri" w:hAnsi="Calibri" w:cs="Calibri"/>
        </w:rPr>
      </w:pPr>
    </w:p>
    <w:p w14:paraId="76C380E1" w14:textId="0779DF56" w:rsidR="005244AC" w:rsidRPr="005244AC" w:rsidRDefault="005244AC" w:rsidP="005244AC">
      <w:pPr>
        <w:pStyle w:val="Header"/>
        <w:widowControl/>
        <w:tabs>
          <w:tab w:val="clear" w:pos="4320"/>
          <w:tab w:val="clear" w:pos="8640"/>
        </w:tabs>
        <w:contextualSpacing/>
        <w:rPr>
          <w:rFonts w:ascii="Calibri" w:hAnsi="Calibri" w:cs="Arial"/>
          <w:lang w:val="en-AU"/>
        </w:rPr>
      </w:pPr>
      <w:r>
        <w:rPr>
          <w:rFonts w:ascii="Calibri" w:hAnsi="Calibri" w:cs="Arial"/>
          <w:lang w:val="en-AU"/>
        </w:rPr>
        <w:t>T</w:t>
      </w:r>
      <w:r w:rsidRPr="7AD2166E">
        <w:rPr>
          <w:rFonts w:ascii="Calibri" w:hAnsi="Calibri" w:cs="Arial"/>
          <w:lang w:val="en-AU"/>
        </w:rPr>
        <w:t xml:space="preserve">he ICRC </w:t>
      </w:r>
      <w:r>
        <w:rPr>
          <w:rFonts w:ascii="Calibri" w:hAnsi="Calibri" w:cs="Arial"/>
          <w:lang w:val="en-AU"/>
        </w:rPr>
        <w:t xml:space="preserve">has </w:t>
      </w:r>
      <w:r w:rsidRPr="7AD2166E">
        <w:rPr>
          <w:rFonts w:ascii="Calibri" w:hAnsi="Calibri" w:cs="Arial"/>
          <w:lang w:val="en-AU"/>
        </w:rPr>
        <w:t xml:space="preserve">continued to identify ongoing instances of non-compliance for connection, supply reliability, notifications for service interruption and disconnection rights. More recently, the ICRC has received increasing levels of complaints by customers in relation to utility providers not meeting guaranteed service level requirements. As a result, the ICRC </w:t>
      </w:r>
      <w:r>
        <w:rPr>
          <w:rFonts w:ascii="Calibri" w:hAnsi="Calibri" w:cs="Arial"/>
          <w:lang w:val="en-AU"/>
        </w:rPr>
        <w:t>has asked</w:t>
      </w:r>
      <w:r w:rsidRPr="7AD2166E">
        <w:rPr>
          <w:rFonts w:ascii="Calibri" w:hAnsi="Calibri" w:cs="Arial"/>
          <w:lang w:val="en-AU"/>
        </w:rPr>
        <w:t xml:space="preserve"> the Government to consider modernising the regulatory framework so that it can better protect the interests of consumers into the future.</w:t>
      </w:r>
    </w:p>
    <w:p w14:paraId="293D0002" w14:textId="77777777" w:rsidR="00E255ED" w:rsidRPr="00E659D6" w:rsidRDefault="00E255ED" w:rsidP="00E255ED">
      <w:pPr>
        <w:pStyle w:val="Header"/>
        <w:widowControl/>
        <w:tabs>
          <w:tab w:val="clear" w:pos="4320"/>
          <w:tab w:val="clear" w:pos="8640"/>
        </w:tabs>
        <w:contextualSpacing/>
        <w:rPr>
          <w:rFonts w:ascii="Calibri" w:hAnsi="Calibri" w:cs="Arial"/>
          <w:szCs w:val="24"/>
          <w:lang w:val="en-AU"/>
        </w:rPr>
      </w:pPr>
    </w:p>
    <w:p w14:paraId="0D27A2E2" w14:textId="26058164" w:rsidR="006079B6" w:rsidRPr="00E659D6" w:rsidRDefault="00F069FB" w:rsidP="00724CDD">
      <w:pPr>
        <w:pStyle w:val="Header"/>
        <w:widowControl/>
        <w:tabs>
          <w:tab w:val="clear" w:pos="4320"/>
          <w:tab w:val="clear" w:pos="8640"/>
        </w:tabs>
        <w:spacing w:line="259" w:lineRule="auto"/>
        <w:contextualSpacing/>
        <w:rPr>
          <w:rFonts w:ascii="Calibri" w:hAnsi="Calibri" w:cs="Arial"/>
          <w:lang w:val="en-AU"/>
        </w:rPr>
      </w:pPr>
      <w:r w:rsidRPr="14BE2A8B">
        <w:rPr>
          <w:rFonts w:ascii="Calibri" w:hAnsi="Calibri" w:cs="Arial"/>
          <w:lang w:val="en-AU"/>
        </w:rPr>
        <w:t>Most</w:t>
      </w:r>
      <w:r w:rsidR="00C96457" w:rsidRPr="14BE2A8B">
        <w:rPr>
          <w:rFonts w:ascii="Calibri" w:hAnsi="Calibri" w:cs="Arial"/>
          <w:lang w:val="en-AU"/>
        </w:rPr>
        <w:t xml:space="preserve"> Australian jurisdictions provide scope for </w:t>
      </w:r>
      <w:r w:rsidR="12BDDFDF" w:rsidRPr="14BE2A8B">
        <w:rPr>
          <w:rFonts w:ascii="Calibri" w:hAnsi="Calibri" w:cs="Arial"/>
          <w:lang w:val="en-AU"/>
        </w:rPr>
        <w:t xml:space="preserve">utility providers’ </w:t>
      </w:r>
      <w:r w:rsidR="00D710F1" w:rsidRPr="14BE2A8B">
        <w:rPr>
          <w:rFonts w:ascii="Calibri" w:hAnsi="Calibri" w:cs="Arial"/>
          <w:lang w:val="en-AU"/>
        </w:rPr>
        <w:t xml:space="preserve">obligations to be </w:t>
      </w:r>
      <w:r w:rsidR="006877B4" w:rsidRPr="14BE2A8B">
        <w:rPr>
          <w:rFonts w:ascii="Calibri" w:hAnsi="Calibri" w:cs="Arial"/>
          <w:lang w:val="en-AU"/>
        </w:rPr>
        <w:t>enforced</w:t>
      </w:r>
      <w:r w:rsidR="00D710F1" w:rsidRPr="14BE2A8B">
        <w:rPr>
          <w:rFonts w:ascii="Calibri" w:hAnsi="Calibri" w:cs="Arial"/>
          <w:lang w:val="en-AU"/>
        </w:rPr>
        <w:t xml:space="preserve"> through</w:t>
      </w:r>
      <w:r w:rsidR="00C57EA0" w:rsidRPr="14BE2A8B">
        <w:rPr>
          <w:rFonts w:ascii="Calibri" w:hAnsi="Calibri" w:cs="Arial"/>
          <w:lang w:val="en-AU"/>
        </w:rPr>
        <w:t xml:space="preserve"> civil enforcement powers</w:t>
      </w:r>
      <w:r w:rsidR="00541F15" w:rsidRPr="14BE2A8B">
        <w:rPr>
          <w:rFonts w:ascii="Calibri" w:hAnsi="Calibri" w:cs="Arial"/>
          <w:lang w:val="en-AU"/>
        </w:rPr>
        <w:t xml:space="preserve">. </w:t>
      </w:r>
      <w:r w:rsidR="00843BC6" w:rsidRPr="14BE2A8B">
        <w:rPr>
          <w:rFonts w:ascii="Calibri" w:hAnsi="Calibri" w:cs="Arial"/>
          <w:lang w:val="en-AU"/>
        </w:rPr>
        <w:t>This allows</w:t>
      </w:r>
      <w:r w:rsidR="2F87B0D5" w:rsidRPr="14BE2A8B">
        <w:rPr>
          <w:rFonts w:ascii="Calibri" w:hAnsi="Calibri" w:cs="Arial"/>
          <w:lang w:val="en-AU"/>
        </w:rPr>
        <w:t>, for example,</w:t>
      </w:r>
      <w:r w:rsidR="00843BC6" w:rsidRPr="14BE2A8B">
        <w:rPr>
          <w:rFonts w:ascii="Calibri" w:hAnsi="Calibri" w:cs="Arial"/>
          <w:lang w:val="en-AU"/>
        </w:rPr>
        <w:t xml:space="preserve"> infringement notices to </w:t>
      </w:r>
      <w:r w:rsidRPr="14BE2A8B">
        <w:rPr>
          <w:rFonts w:ascii="Calibri" w:hAnsi="Calibri" w:cs="Arial"/>
          <w:lang w:val="en-AU"/>
        </w:rPr>
        <w:t xml:space="preserve">be issued to </w:t>
      </w:r>
      <w:r w:rsidR="00843BC6" w:rsidRPr="14BE2A8B">
        <w:rPr>
          <w:rFonts w:ascii="Calibri" w:hAnsi="Calibri" w:cs="Arial"/>
          <w:lang w:val="en-AU"/>
        </w:rPr>
        <w:t>utilities who have not met their conduct obligations.</w:t>
      </w:r>
      <w:r w:rsidR="006079B6" w:rsidRPr="14BE2A8B">
        <w:rPr>
          <w:rFonts w:ascii="Calibri" w:hAnsi="Calibri" w:cs="Arial"/>
          <w:lang w:val="en-AU"/>
        </w:rPr>
        <w:t xml:space="preserve"> Further, it allows for entities to give – and to be held to – an undertaking to address a problem.</w:t>
      </w:r>
    </w:p>
    <w:p w14:paraId="44A069B4" w14:textId="77777777" w:rsidR="00843BC6" w:rsidRPr="00E659D6" w:rsidRDefault="00843BC6" w:rsidP="00313FDE">
      <w:pPr>
        <w:pStyle w:val="Header"/>
        <w:widowControl/>
        <w:tabs>
          <w:tab w:val="clear" w:pos="4320"/>
          <w:tab w:val="clear" w:pos="8640"/>
        </w:tabs>
        <w:contextualSpacing/>
        <w:rPr>
          <w:rFonts w:ascii="Calibri" w:hAnsi="Calibri" w:cs="Arial"/>
          <w:szCs w:val="24"/>
          <w:lang w:val="en-AU"/>
        </w:rPr>
      </w:pPr>
    </w:p>
    <w:p w14:paraId="4125972F" w14:textId="14C873D4" w:rsidR="00605E69" w:rsidRPr="00357632" w:rsidRDefault="00843BC6" w:rsidP="00387EF0">
      <w:pPr>
        <w:pStyle w:val="Header"/>
        <w:widowControl/>
        <w:tabs>
          <w:tab w:val="clear" w:pos="4320"/>
          <w:tab w:val="clear" w:pos="8640"/>
        </w:tabs>
        <w:contextualSpacing/>
        <w:rPr>
          <w:rFonts w:ascii="Calibri" w:hAnsi="Calibri" w:cs="Arial"/>
        </w:rPr>
      </w:pPr>
      <w:r w:rsidRPr="37325641">
        <w:rPr>
          <w:rFonts w:ascii="Calibri" w:hAnsi="Calibri" w:cs="Arial"/>
          <w:lang w:val="en-AU"/>
        </w:rPr>
        <w:lastRenderedPageBreak/>
        <w:t xml:space="preserve">In contrast, the </w:t>
      </w:r>
      <w:r w:rsidR="001B2B79" w:rsidRPr="37325641">
        <w:rPr>
          <w:rFonts w:ascii="Calibri" w:hAnsi="Calibri" w:cs="Arial"/>
          <w:lang w:val="en-AU"/>
        </w:rPr>
        <w:t xml:space="preserve">regulatory powers in the ACT’s Utilities Act </w:t>
      </w:r>
      <w:r w:rsidR="00F069FB" w:rsidRPr="37325641">
        <w:rPr>
          <w:rFonts w:ascii="Calibri" w:hAnsi="Calibri" w:cs="Arial"/>
          <w:lang w:val="en-AU"/>
        </w:rPr>
        <w:t xml:space="preserve">only enable </w:t>
      </w:r>
      <w:r w:rsidRPr="37325641">
        <w:rPr>
          <w:rFonts w:ascii="Calibri" w:hAnsi="Calibri" w:cs="Arial"/>
          <w:lang w:val="en-AU"/>
        </w:rPr>
        <w:t xml:space="preserve">the ICRC to </w:t>
      </w:r>
      <w:r w:rsidR="00F069FB" w:rsidRPr="37325641">
        <w:rPr>
          <w:rFonts w:ascii="Calibri" w:hAnsi="Calibri" w:cs="Arial"/>
          <w:lang w:val="en-AU"/>
        </w:rPr>
        <w:t xml:space="preserve">encourage </w:t>
      </w:r>
      <w:r w:rsidR="00B65D9D" w:rsidRPr="37325641">
        <w:rPr>
          <w:rFonts w:ascii="Calibri" w:hAnsi="Calibri" w:cs="Arial"/>
          <w:lang w:val="en-AU"/>
        </w:rPr>
        <w:t xml:space="preserve">voluntary </w:t>
      </w:r>
      <w:r w:rsidR="007736B2" w:rsidRPr="37325641">
        <w:rPr>
          <w:rFonts w:ascii="Calibri" w:hAnsi="Calibri" w:cs="Arial"/>
          <w:lang w:val="en-AU"/>
        </w:rPr>
        <w:t>compliance</w:t>
      </w:r>
      <w:r w:rsidRPr="37325641">
        <w:rPr>
          <w:rFonts w:ascii="Calibri" w:hAnsi="Calibri" w:cs="Arial"/>
          <w:lang w:val="en-AU"/>
        </w:rPr>
        <w:t xml:space="preserve"> </w:t>
      </w:r>
      <w:r w:rsidR="00F069FB" w:rsidRPr="37325641">
        <w:rPr>
          <w:rFonts w:ascii="Calibri" w:hAnsi="Calibri" w:cs="Arial"/>
          <w:lang w:val="en-AU"/>
        </w:rPr>
        <w:t xml:space="preserve">by </w:t>
      </w:r>
      <w:r w:rsidRPr="37325641">
        <w:rPr>
          <w:rFonts w:ascii="Calibri" w:hAnsi="Calibri" w:cs="Arial"/>
          <w:lang w:val="en-AU"/>
        </w:rPr>
        <w:t>a utility provider</w:t>
      </w:r>
      <w:r w:rsidR="007736B2" w:rsidRPr="37325641">
        <w:rPr>
          <w:rFonts w:ascii="Calibri" w:hAnsi="Calibri" w:cs="Arial"/>
          <w:lang w:val="en-AU"/>
        </w:rPr>
        <w:t xml:space="preserve">, or to consider the viability </w:t>
      </w:r>
      <w:r w:rsidR="00C57EA0" w:rsidRPr="37325641">
        <w:rPr>
          <w:rFonts w:ascii="Calibri" w:hAnsi="Calibri" w:cs="Arial"/>
          <w:lang w:val="en-AU"/>
        </w:rPr>
        <w:t xml:space="preserve">of </w:t>
      </w:r>
      <w:r w:rsidRPr="37325641">
        <w:rPr>
          <w:rFonts w:ascii="Calibri" w:hAnsi="Calibri" w:cs="Arial"/>
          <w:lang w:val="en-AU"/>
        </w:rPr>
        <w:t xml:space="preserve">a </w:t>
      </w:r>
      <w:r w:rsidR="007736B2" w:rsidRPr="37325641">
        <w:rPr>
          <w:rFonts w:ascii="Calibri" w:hAnsi="Calibri" w:cs="Arial"/>
          <w:lang w:val="en-AU"/>
        </w:rPr>
        <w:t xml:space="preserve">criminal </w:t>
      </w:r>
      <w:r w:rsidRPr="37325641">
        <w:rPr>
          <w:rFonts w:ascii="Calibri" w:hAnsi="Calibri" w:cs="Arial"/>
          <w:lang w:val="en-AU"/>
        </w:rPr>
        <w:t>prosecution</w:t>
      </w:r>
      <w:r w:rsidR="00C57EA0" w:rsidRPr="37325641">
        <w:rPr>
          <w:rFonts w:ascii="Calibri" w:hAnsi="Calibri" w:cs="Arial"/>
          <w:lang w:val="en-AU"/>
        </w:rPr>
        <w:t xml:space="preserve"> by the </w:t>
      </w:r>
      <w:r w:rsidRPr="37325641">
        <w:rPr>
          <w:rFonts w:ascii="Calibri" w:hAnsi="Calibri" w:cs="Arial"/>
          <w:lang w:val="en-AU"/>
        </w:rPr>
        <w:t>Director of Public Prosecutions</w:t>
      </w:r>
      <w:r w:rsidR="00E413AB" w:rsidRPr="37325641">
        <w:rPr>
          <w:rFonts w:ascii="Calibri" w:hAnsi="Calibri" w:cs="Arial"/>
          <w:lang w:val="en-AU"/>
        </w:rPr>
        <w:t xml:space="preserve"> (DPP)</w:t>
      </w:r>
      <w:r w:rsidR="007736B2" w:rsidRPr="37325641">
        <w:rPr>
          <w:rFonts w:ascii="Calibri" w:hAnsi="Calibri" w:cs="Arial"/>
          <w:lang w:val="en-AU"/>
        </w:rPr>
        <w:t xml:space="preserve">. </w:t>
      </w:r>
    </w:p>
    <w:p w14:paraId="703E8F24" w14:textId="38E2721C" w:rsidR="00DD4BE4" w:rsidRDefault="00DD4BE4" w:rsidP="00313FDE">
      <w:pPr>
        <w:pStyle w:val="Header"/>
        <w:widowControl/>
        <w:tabs>
          <w:tab w:val="clear" w:pos="4320"/>
          <w:tab w:val="clear" w:pos="8640"/>
        </w:tabs>
        <w:contextualSpacing/>
        <w:rPr>
          <w:rFonts w:ascii="Calibri" w:hAnsi="Calibri" w:cs="Arial"/>
          <w:szCs w:val="24"/>
          <w:lang w:val="en-AU"/>
        </w:rPr>
      </w:pPr>
    </w:p>
    <w:p w14:paraId="21856629" w14:textId="1685627F" w:rsidR="000740FA" w:rsidRDefault="003A6747" w:rsidP="00313FDE">
      <w:pPr>
        <w:pStyle w:val="Header"/>
        <w:widowControl/>
        <w:tabs>
          <w:tab w:val="clear" w:pos="4320"/>
          <w:tab w:val="clear" w:pos="8640"/>
        </w:tabs>
        <w:contextualSpacing/>
        <w:rPr>
          <w:rFonts w:ascii="Calibri" w:hAnsi="Calibri" w:cs="Arial"/>
          <w:szCs w:val="24"/>
          <w:lang w:val="en-AU"/>
        </w:rPr>
      </w:pPr>
      <w:r>
        <w:rPr>
          <w:rFonts w:ascii="Calibri" w:hAnsi="Calibri" w:cs="Arial"/>
          <w:szCs w:val="24"/>
          <w:lang w:val="en-AU"/>
        </w:rPr>
        <w:t>Chief Minister, Treasury and Economic Development Directorate (CMTEDD)</w:t>
      </w:r>
      <w:r w:rsidR="00044911">
        <w:rPr>
          <w:rFonts w:ascii="Calibri" w:hAnsi="Calibri" w:cs="Arial"/>
          <w:szCs w:val="24"/>
          <w:lang w:val="en-AU"/>
        </w:rPr>
        <w:t>,</w:t>
      </w:r>
      <w:r>
        <w:rPr>
          <w:rFonts w:ascii="Calibri" w:hAnsi="Calibri" w:cs="Arial"/>
          <w:szCs w:val="24"/>
          <w:lang w:val="en-AU"/>
        </w:rPr>
        <w:t xml:space="preserve"> </w:t>
      </w:r>
      <w:r w:rsidR="00EF1176">
        <w:rPr>
          <w:rFonts w:ascii="Calibri" w:hAnsi="Calibri" w:cs="Arial"/>
          <w:szCs w:val="24"/>
          <w:lang w:val="en-AU"/>
        </w:rPr>
        <w:t xml:space="preserve">welcomes </w:t>
      </w:r>
      <w:r w:rsidR="00651AEE">
        <w:rPr>
          <w:rFonts w:ascii="Calibri" w:hAnsi="Calibri" w:cs="Arial"/>
          <w:szCs w:val="24"/>
          <w:lang w:val="en-AU"/>
        </w:rPr>
        <w:t xml:space="preserve">contributions from the community and regulated entities on </w:t>
      </w:r>
      <w:r>
        <w:rPr>
          <w:rFonts w:ascii="Calibri" w:hAnsi="Calibri" w:cs="Arial"/>
          <w:szCs w:val="24"/>
          <w:lang w:val="en-AU"/>
        </w:rPr>
        <w:t xml:space="preserve">the key issues and questions </w:t>
      </w:r>
      <w:r w:rsidR="005D2F52">
        <w:rPr>
          <w:rFonts w:ascii="Calibri" w:hAnsi="Calibri" w:cs="Arial"/>
          <w:szCs w:val="24"/>
          <w:lang w:val="en-AU"/>
        </w:rPr>
        <w:t xml:space="preserve">set out </w:t>
      </w:r>
      <w:r>
        <w:rPr>
          <w:rFonts w:ascii="Calibri" w:hAnsi="Calibri" w:cs="Arial"/>
          <w:szCs w:val="24"/>
          <w:lang w:val="en-AU"/>
        </w:rPr>
        <w:t xml:space="preserve">in </w:t>
      </w:r>
      <w:r w:rsidR="00DA62D8">
        <w:rPr>
          <w:rFonts w:ascii="Calibri" w:hAnsi="Calibri" w:cs="Arial"/>
          <w:szCs w:val="24"/>
          <w:lang w:val="en-AU"/>
        </w:rPr>
        <w:t xml:space="preserve">this </w:t>
      </w:r>
      <w:r w:rsidR="003B021C">
        <w:rPr>
          <w:rFonts w:ascii="Calibri" w:hAnsi="Calibri" w:cs="Arial"/>
          <w:szCs w:val="24"/>
          <w:lang w:val="en-AU"/>
        </w:rPr>
        <w:t>Consultation</w:t>
      </w:r>
      <w:r w:rsidR="00CF0E09">
        <w:rPr>
          <w:rFonts w:ascii="Calibri" w:hAnsi="Calibri" w:cs="Arial"/>
          <w:szCs w:val="24"/>
          <w:lang w:val="en-AU"/>
        </w:rPr>
        <w:t xml:space="preserve"> Paper</w:t>
      </w:r>
      <w:r>
        <w:rPr>
          <w:rFonts w:ascii="Calibri" w:hAnsi="Calibri" w:cs="Arial"/>
          <w:szCs w:val="24"/>
          <w:lang w:val="en-AU"/>
        </w:rPr>
        <w:t xml:space="preserve">. </w:t>
      </w:r>
    </w:p>
    <w:p w14:paraId="15AD06AB" w14:textId="77777777" w:rsidR="005A1C2C" w:rsidRDefault="005A1C2C" w:rsidP="00313FDE">
      <w:pPr>
        <w:pStyle w:val="Header"/>
        <w:widowControl/>
        <w:tabs>
          <w:tab w:val="clear" w:pos="4320"/>
          <w:tab w:val="clear" w:pos="8640"/>
        </w:tabs>
        <w:contextualSpacing/>
        <w:rPr>
          <w:rFonts w:ascii="Calibri" w:hAnsi="Calibri" w:cs="Arial"/>
          <w:szCs w:val="24"/>
          <w:lang w:val="en-AU"/>
        </w:rPr>
      </w:pPr>
    </w:p>
    <w:p w14:paraId="5A0CE8A6" w14:textId="77777777" w:rsidR="006551D7" w:rsidRDefault="006551D7" w:rsidP="000540A1">
      <w:pPr>
        <w:pStyle w:val="Heading1"/>
        <w:spacing w:before="0" w:after="240"/>
        <w:sectPr w:rsidR="006551D7" w:rsidSect="005A1C2C">
          <w:pgSz w:w="11906" w:h="16838"/>
          <w:pgMar w:top="1440" w:right="1440" w:bottom="1440" w:left="1440" w:header="708" w:footer="405" w:gutter="0"/>
          <w:cols w:space="708"/>
          <w:titlePg/>
          <w:docGrid w:linePitch="360"/>
        </w:sectPr>
      </w:pPr>
      <w:bookmarkStart w:id="12" w:name="_Toc146284758"/>
      <w:bookmarkStart w:id="13" w:name="_Toc64388883"/>
      <w:bookmarkStart w:id="14" w:name="_Toc65491617"/>
    </w:p>
    <w:p w14:paraId="29E58472" w14:textId="218A8494" w:rsidR="00E23778" w:rsidRPr="008F7E20" w:rsidRDefault="009E1404" w:rsidP="000540A1">
      <w:pPr>
        <w:pStyle w:val="Heading1"/>
        <w:spacing w:before="0" w:after="240"/>
      </w:pPr>
      <w:r>
        <w:lastRenderedPageBreak/>
        <w:t xml:space="preserve">2. </w:t>
      </w:r>
      <w:r w:rsidR="00E23778" w:rsidRPr="008F7E20">
        <w:t>Key information</w:t>
      </w:r>
      <w:bookmarkEnd w:id="12"/>
      <w:r w:rsidR="00E23778" w:rsidRPr="008F7E20">
        <w:t xml:space="preserve"> </w:t>
      </w:r>
      <w:bookmarkEnd w:id="13"/>
      <w:bookmarkEnd w:id="14"/>
    </w:p>
    <w:p w14:paraId="6516D756" w14:textId="77777777" w:rsidR="00E23778" w:rsidRPr="00C73BBD" w:rsidRDefault="00E23778" w:rsidP="00ED3400">
      <w:pPr>
        <w:pStyle w:val="Heading2"/>
        <w:rPr>
          <w:i w:val="0"/>
          <w:iCs w:val="0"/>
        </w:rPr>
      </w:pPr>
      <w:bookmarkStart w:id="15" w:name="_Toc64388884"/>
      <w:bookmarkStart w:id="16" w:name="_Toc65491618"/>
      <w:bookmarkStart w:id="17" w:name="_Toc146284759"/>
      <w:r w:rsidRPr="00C73BBD">
        <w:rPr>
          <w:i w:val="0"/>
          <w:iCs w:val="0"/>
        </w:rPr>
        <w:t>Key Dates</w:t>
      </w:r>
      <w:bookmarkEnd w:id="15"/>
      <w:bookmarkEnd w:id="16"/>
      <w:bookmarkEnd w:id="17"/>
    </w:p>
    <w:p w14:paraId="384FFAD9" w14:textId="66F450C8" w:rsidR="00E23778" w:rsidRPr="00275CC6" w:rsidRDefault="00E23778" w:rsidP="006F0D61">
      <w:pPr>
        <w:pStyle w:val="NoSpacing"/>
        <w:rPr>
          <w:sz w:val="24"/>
          <w:szCs w:val="24"/>
        </w:rPr>
      </w:pPr>
      <w:r w:rsidRPr="00A14376">
        <w:rPr>
          <w:sz w:val="24"/>
          <w:szCs w:val="24"/>
        </w:rPr>
        <w:t xml:space="preserve">Release of </w:t>
      </w:r>
      <w:r w:rsidR="006C4681">
        <w:rPr>
          <w:sz w:val="24"/>
          <w:szCs w:val="24"/>
        </w:rPr>
        <w:t>Consultation</w:t>
      </w:r>
      <w:r w:rsidR="00CF0E09">
        <w:rPr>
          <w:sz w:val="24"/>
          <w:szCs w:val="24"/>
        </w:rPr>
        <w:t xml:space="preserve"> Paper</w:t>
      </w:r>
      <w:r w:rsidR="00AE286F" w:rsidRPr="00A14376">
        <w:rPr>
          <w:sz w:val="24"/>
          <w:szCs w:val="24"/>
        </w:rPr>
        <w:t>:</w:t>
      </w:r>
      <w:r w:rsidR="00AE286F" w:rsidRPr="00A14376">
        <w:rPr>
          <w:sz w:val="24"/>
          <w:szCs w:val="24"/>
        </w:rPr>
        <w:tab/>
      </w:r>
      <w:r w:rsidR="00AE286F" w:rsidRPr="00A14376">
        <w:rPr>
          <w:sz w:val="24"/>
          <w:szCs w:val="24"/>
        </w:rPr>
        <w:tab/>
      </w:r>
      <w:r w:rsidR="00AE286F" w:rsidRPr="00A14376">
        <w:rPr>
          <w:sz w:val="24"/>
          <w:szCs w:val="24"/>
        </w:rPr>
        <w:tab/>
      </w:r>
      <w:r w:rsidR="005D05F0">
        <w:rPr>
          <w:sz w:val="24"/>
          <w:szCs w:val="24"/>
        </w:rPr>
        <w:t>2</w:t>
      </w:r>
      <w:r w:rsidR="00E95A81">
        <w:rPr>
          <w:sz w:val="24"/>
          <w:szCs w:val="24"/>
        </w:rPr>
        <w:t>7</w:t>
      </w:r>
      <w:r w:rsidR="005D05F0">
        <w:rPr>
          <w:sz w:val="24"/>
          <w:szCs w:val="24"/>
        </w:rPr>
        <w:t xml:space="preserve"> </w:t>
      </w:r>
      <w:r w:rsidR="00E95A81">
        <w:rPr>
          <w:sz w:val="24"/>
          <w:szCs w:val="24"/>
        </w:rPr>
        <w:t>September</w:t>
      </w:r>
      <w:r w:rsidR="005D05F0">
        <w:rPr>
          <w:sz w:val="24"/>
          <w:szCs w:val="24"/>
        </w:rPr>
        <w:t xml:space="preserve"> 2023</w:t>
      </w:r>
    </w:p>
    <w:p w14:paraId="6F57334A" w14:textId="3F79D1B9" w:rsidR="00E23778" w:rsidRPr="00275CC6" w:rsidRDefault="00E23778" w:rsidP="006F0D61">
      <w:pPr>
        <w:pStyle w:val="NoSpacing"/>
        <w:rPr>
          <w:sz w:val="24"/>
          <w:szCs w:val="24"/>
        </w:rPr>
      </w:pPr>
      <w:r w:rsidRPr="00275CC6">
        <w:rPr>
          <w:sz w:val="24"/>
          <w:szCs w:val="24"/>
        </w:rPr>
        <w:t>Submissions due by:</w:t>
      </w:r>
      <w:r w:rsidRPr="00275CC6">
        <w:rPr>
          <w:sz w:val="24"/>
          <w:szCs w:val="24"/>
        </w:rPr>
        <w:tab/>
      </w:r>
      <w:r w:rsidRPr="00275CC6">
        <w:rPr>
          <w:sz w:val="24"/>
          <w:szCs w:val="24"/>
        </w:rPr>
        <w:tab/>
      </w:r>
      <w:r w:rsidRPr="00275CC6">
        <w:rPr>
          <w:sz w:val="24"/>
          <w:szCs w:val="24"/>
        </w:rPr>
        <w:tab/>
      </w:r>
      <w:r w:rsidRPr="00275CC6">
        <w:rPr>
          <w:sz w:val="24"/>
          <w:szCs w:val="24"/>
        </w:rPr>
        <w:tab/>
      </w:r>
      <w:r w:rsidRPr="00275CC6">
        <w:rPr>
          <w:sz w:val="24"/>
          <w:szCs w:val="24"/>
        </w:rPr>
        <w:tab/>
      </w:r>
      <w:r w:rsidR="005D05F0">
        <w:rPr>
          <w:sz w:val="24"/>
          <w:szCs w:val="24"/>
        </w:rPr>
        <w:t>2</w:t>
      </w:r>
      <w:r w:rsidR="00E95A81">
        <w:rPr>
          <w:sz w:val="24"/>
          <w:szCs w:val="24"/>
        </w:rPr>
        <w:t>5</w:t>
      </w:r>
      <w:r w:rsidR="005D05F0">
        <w:rPr>
          <w:sz w:val="24"/>
          <w:szCs w:val="24"/>
        </w:rPr>
        <w:t xml:space="preserve"> </w:t>
      </w:r>
      <w:r w:rsidR="00E95A81">
        <w:rPr>
          <w:sz w:val="24"/>
          <w:szCs w:val="24"/>
        </w:rPr>
        <w:t>October</w:t>
      </w:r>
      <w:r w:rsidR="002A23DA" w:rsidRPr="00275CC6">
        <w:rPr>
          <w:sz w:val="24"/>
          <w:szCs w:val="24"/>
        </w:rPr>
        <w:t xml:space="preserve"> 20</w:t>
      </w:r>
      <w:r w:rsidR="00643AFB" w:rsidRPr="00275CC6">
        <w:rPr>
          <w:sz w:val="24"/>
          <w:szCs w:val="24"/>
        </w:rPr>
        <w:t>2</w:t>
      </w:r>
      <w:r w:rsidR="005D05F0">
        <w:rPr>
          <w:sz w:val="24"/>
          <w:szCs w:val="24"/>
        </w:rPr>
        <w:t>3</w:t>
      </w:r>
    </w:p>
    <w:p w14:paraId="7F57A3A0" w14:textId="77777777" w:rsidR="00E23778" w:rsidRPr="00C73BBD" w:rsidRDefault="00E23778" w:rsidP="00ED3400">
      <w:pPr>
        <w:pStyle w:val="Heading2"/>
        <w:rPr>
          <w:i w:val="0"/>
          <w:iCs w:val="0"/>
        </w:rPr>
      </w:pPr>
      <w:bookmarkStart w:id="18" w:name="_Toc64388885"/>
      <w:bookmarkStart w:id="19" w:name="_Toc65491619"/>
      <w:bookmarkStart w:id="20" w:name="_Toc146284760"/>
      <w:r w:rsidRPr="00C73BBD">
        <w:rPr>
          <w:i w:val="0"/>
          <w:iCs w:val="0"/>
        </w:rPr>
        <w:t>Contacts</w:t>
      </w:r>
      <w:bookmarkEnd w:id="18"/>
      <w:bookmarkEnd w:id="19"/>
      <w:bookmarkEnd w:id="20"/>
    </w:p>
    <w:p w14:paraId="602D3A2B" w14:textId="299B617C" w:rsidR="00E23778" w:rsidRPr="00A14376" w:rsidRDefault="00E23778" w:rsidP="00E23778">
      <w:pPr>
        <w:pStyle w:val="NoSpacing"/>
        <w:rPr>
          <w:sz w:val="24"/>
          <w:szCs w:val="24"/>
        </w:rPr>
      </w:pPr>
      <w:r w:rsidRPr="00A14376">
        <w:rPr>
          <w:sz w:val="24"/>
          <w:szCs w:val="24"/>
        </w:rPr>
        <w:t>For further information p</w:t>
      </w:r>
      <w:r w:rsidR="001B059D">
        <w:rPr>
          <w:sz w:val="24"/>
          <w:szCs w:val="24"/>
        </w:rPr>
        <w:t>lease contact</w:t>
      </w:r>
      <w:r w:rsidR="00AE286F" w:rsidRPr="00A14376">
        <w:rPr>
          <w:sz w:val="24"/>
          <w:szCs w:val="24"/>
        </w:rPr>
        <w:t>:</w:t>
      </w:r>
      <w:r w:rsidR="001B059D">
        <w:rPr>
          <w:sz w:val="24"/>
          <w:szCs w:val="24"/>
        </w:rPr>
        <w:t xml:space="preserve">   </w:t>
      </w:r>
      <w:r w:rsidR="001B059D">
        <w:rPr>
          <w:sz w:val="24"/>
          <w:szCs w:val="24"/>
        </w:rPr>
        <w:tab/>
      </w:r>
      <w:r w:rsidR="001B059D">
        <w:rPr>
          <w:sz w:val="24"/>
          <w:szCs w:val="24"/>
        </w:rPr>
        <w:tab/>
      </w:r>
      <w:r w:rsidR="00117B8A" w:rsidRPr="00A14376">
        <w:rPr>
          <w:sz w:val="24"/>
          <w:szCs w:val="24"/>
        </w:rPr>
        <w:t>M</w:t>
      </w:r>
      <w:r w:rsidR="001B059D">
        <w:rPr>
          <w:sz w:val="24"/>
          <w:szCs w:val="24"/>
        </w:rPr>
        <w:t>r</w:t>
      </w:r>
      <w:r w:rsidRPr="00A14376">
        <w:rPr>
          <w:sz w:val="24"/>
          <w:szCs w:val="24"/>
        </w:rPr>
        <w:t xml:space="preserve"> </w:t>
      </w:r>
      <w:r w:rsidR="000316C3">
        <w:rPr>
          <w:sz w:val="24"/>
          <w:szCs w:val="24"/>
        </w:rPr>
        <w:t>Nathan Brown</w:t>
      </w:r>
      <w:r w:rsidR="00765BA5" w:rsidRPr="00A14376">
        <w:rPr>
          <w:sz w:val="24"/>
          <w:szCs w:val="24"/>
        </w:rPr>
        <w:t xml:space="preserve"> </w:t>
      </w:r>
      <w:r w:rsidRPr="00A14376">
        <w:rPr>
          <w:sz w:val="24"/>
          <w:szCs w:val="24"/>
        </w:rPr>
        <w:t xml:space="preserve">(02) </w:t>
      </w:r>
      <w:r w:rsidR="00410AC7" w:rsidRPr="00A14376">
        <w:rPr>
          <w:sz w:val="24"/>
          <w:szCs w:val="24"/>
        </w:rPr>
        <w:t>620</w:t>
      </w:r>
      <w:r w:rsidR="00F85F6F">
        <w:rPr>
          <w:sz w:val="24"/>
          <w:szCs w:val="24"/>
        </w:rPr>
        <w:t>7</w:t>
      </w:r>
      <w:r w:rsidR="00765BA5" w:rsidRPr="00A14376">
        <w:rPr>
          <w:sz w:val="24"/>
          <w:szCs w:val="24"/>
        </w:rPr>
        <w:t xml:space="preserve"> </w:t>
      </w:r>
      <w:r w:rsidR="00F85F6F">
        <w:rPr>
          <w:sz w:val="24"/>
          <w:szCs w:val="24"/>
        </w:rPr>
        <w:t>35</w:t>
      </w:r>
      <w:r w:rsidR="004C13C4">
        <w:rPr>
          <w:sz w:val="24"/>
          <w:szCs w:val="24"/>
        </w:rPr>
        <w:t>3</w:t>
      </w:r>
      <w:r w:rsidR="00F85F6F">
        <w:rPr>
          <w:sz w:val="24"/>
          <w:szCs w:val="24"/>
        </w:rPr>
        <w:t>1</w:t>
      </w:r>
    </w:p>
    <w:p w14:paraId="421D6601" w14:textId="6AE375C5" w:rsidR="00E23778" w:rsidRPr="0084112B" w:rsidRDefault="00E23778" w:rsidP="0084112B">
      <w:pPr>
        <w:pStyle w:val="NoSpacing"/>
        <w:spacing w:line="259" w:lineRule="auto"/>
        <w:rPr>
          <w:color w:val="0000FF"/>
          <w:sz w:val="24"/>
          <w:szCs w:val="24"/>
          <w:u w:val="single"/>
        </w:rPr>
      </w:pPr>
      <w:r w:rsidRPr="00A14376">
        <w:rPr>
          <w:sz w:val="24"/>
          <w:szCs w:val="24"/>
        </w:rPr>
        <w:t>Email address:</w:t>
      </w:r>
      <w:r w:rsidRPr="00A14376">
        <w:rPr>
          <w:sz w:val="24"/>
          <w:szCs w:val="24"/>
        </w:rPr>
        <w:tab/>
      </w:r>
      <w:r w:rsidRPr="00A14376">
        <w:rPr>
          <w:sz w:val="24"/>
          <w:szCs w:val="24"/>
        </w:rPr>
        <w:tab/>
      </w:r>
      <w:r w:rsidRPr="00A14376">
        <w:rPr>
          <w:sz w:val="24"/>
          <w:szCs w:val="24"/>
        </w:rPr>
        <w:tab/>
      </w:r>
      <w:r w:rsidRPr="00A14376">
        <w:rPr>
          <w:sz w:val="24"/>
          <w:szCs w:val="24"/>
        </w:rPr>
        <w:tab/>
      </w:r>
      <w:r w:rsidRPr="00A14376">
        <w:rPr>
          <w:sz w:val="24"/>
          <w:szCs w:val="24"/>
        </w:rPr>
        <w:tab/>
      </w:r>
      <w:r w:rsidR="00CC4323">
        <w:rPr>
          <w:sz w:val="24"/>
          <w:szCs w:val="24"/>
        </w:rPr>
        <w:tab/>
      </w:r>
      <w:hyperlink r:id="rId15" w:history="1">
        <w:r w:rsidR="5C87DDD0" w:rsidRPr="00961F42">
          <w:rPr>
            <w:rStyle w:val="Hyperlink"/>
            <w:sz w:val="24"/>
            <w:szCs w:val="24"/>
          </w:rPr>
          <w:t>utilitylawmodernisation@act.gov.</w:t>
        </w:r>
        <w:r w:rsidR="2E301A4A" w:rsidRPr="00961F42">
          <w:rPr>
            <w:rStyle w:val="Hyperlink"/>
            <w:sz w:val="24"/>
            <w:szCs w:val="24"/>
          </w:rPr>
          <w:t>au</w:t>
        </w:r>
      </w:hyperlink>
      <w:r w:rsidR="00A61367">
        <w:t xml:space="preserve"> </w:t>
      </w:r>
    </w:p>
    <w:p w14:paraId="7CDEFACB" w14:textId="77777777" w:rsidR="00E23778" w:rsidRPr="00C73BBD" w:rsidRDefault="00E23778" w:rsidP="00ED3400">
      <w:pPr>
        <w:pStyle w:val="Heading2"/>
        <w:rPr>
          <w:i w:val="0"/>
          <w:iCs w:val="0"/>
        </w:rPr>
      </w:pPr>
      <w:bookmarkStart w:id="21" w:name="_Toc64388886"/>
      <w:bookmarkStart w:id="22" w:name="_Toc65491620"/>
      <w:bookmarkStart w:id="23" w:name="_Toc146284761"/>
      <w:r w:rsidRPr="00C73BBD">
        <w:rPr>
          <w:i w:val="0"/>
          <w:iCs w:val="0"/>
        </w:rPr>
        <w:t>How to make a submission</w:t>
      </w:r>
      <w:bookmarkEnd w:id="21"/>
      <w:bookmarkEnd w:id="22"/>
      <w:bookmarkEnd w:id="23"/>
    </w:p>
    <w:p w14:paraId="11483410" w14:textId="5367C473" w:rsidR="002D4F3A" w:rsidRPr="00A14376" w:rsidRDefault="002D4F3A" w:rsidP="002D4F3A">
      <w:pPr>
        <w:pStyle w:val="NoSpacing"/>
        <w:rPr>
          <w:sz w:val="24"/>
          <w:szCs w:val="24"/>
        </w:rPr>
      </w:pPr>
      <w:r w:rsidRPr="51315CAF">
        <w:rPr>
          <w:sz w:val="24"/>
          <w:szCs w:val="24"/>
        </w:rPr>
        <w:t>I</w:t>
      </w:r>
      <w:r w:rsidR="00E23778" w:rsidRPr="51315CAF">
        <w:rPr>
          <w:sz w:val="24"/>
          <w:szCs w:val="24"/>
        </w:rPr>
        <w:t xml:space="preserve">nterested </w:t>
      </w:r>
      <w:r w:rsidRPr="51315CAF">
        <w:rPr>
          <w:sz w:val="24"/>
          <w:szCs w:val="24"/>
        </w:rPr>
        <w:t>parties are</w:t>
      </w:r>
      <w:r w:rsidR="00C65317" w:rsidRPr="51315CAF">
        <w:rPr>
          <w:sz w:val="24"/>
          <w:szCs w:val="24"/>
        </w:rPr>
        <w:t xml:space="preserve"> </w:t>
      </w:r>
      <w:r w:rsidR="0022738D" w:rsidRPr="51315CAF">
        <w:rPr>
          <w:sz w:val="24"/>
          <w:szCs w:val="24"/>
        </w:rPr>
        <w:t xml:space="preserve">encouraged to </w:t>
      </w:r>
      <w:r w:rsidR="0004498C" w:rsidRPr="51315CAF">
        <w:rPr>
          <w:sz w:val="24"/>
          <w:szCs w:val="24"/>
        </w:rPr>
        <w:t xml:space="preserve">make a </w:t>
      </w:r>
      <w:r w:rsidR="00DA62D8" w:rsidRPr="51315CAF">
        <w:rPr>
          <w:sz w:val="24"/>
          <w:szCs w:val="24"/>
        </w:rPr>
        <w:t xml:space="preserve">written </w:t>
      </w:r>
      <w:r w:rsidR="0004498C" w:rsidRPr="51315CAF">
        <w:rPr>
          <w:sz w:val="24"/>
          <w:szCs w:val="24"/>
        </w:rPr>
        <w:t>submission</w:t>
      </w:r>
      <w:r w:rsidR="00E23778" w:rsidRPr="51315CAF">
        <w:rPr>
          <w:sz w:val="24"/>
          <w:szCs w:val="24"/>
        </w:rPr>
        <w:t xml:space="preserve"> and </w:t>
      </w:r>
      <w:r w:rsidR="005D2F52" w:rsidRPr="51315CAF">
        <w:rPr>
          <w:sz w:val="24"/>
          <w:szCs w:val="24"/>
        </w:rPr>
        <w:t>preferably</w:t>
      </w:r>
      <w:r w:rsidR="00E23778" w:rsidRPr="51315CAF">
        <w:rPr>
          <w:sz w:val="24"/>
          <w:szCs w:val="24"/>
        </w:rPr>
        <w:t xml:space="preserve"> </w:t>
      </w:r>
      <w:r w:rsidRPr="51315CAF">
        <w:rPr>
          <w:sz w:val="24"/>
          <w:szCs w:val="24"/>
        </w:rPr>
        <w:t xml:space="preserve">provide it </w:t>
      </w:r>
      <w:r w:rsidR="00E23778" w:rsidRPr="51315CAF">
        <w:rPr>
          <w:sz w:val="24"/>
          <w:szCs w:val="24"/>
        </w:rPr>
        <w:t>electronically</w:t>
      </w:r>
      <w:r w:rsidR="009061F5" w:rsidRPr="51315CAF">
        <w:rPr>
          <w:sz w:val="24"/>
          <w:szCs w:val="24"/>
        </w:rPr>
        <w:t xml:space="preserve"> </w:t>
      </w:r>
      <w:r w:rsidR="003C4398">
        <w:rPr>
          <w:sz w:val="24"/>
          <w:szCs w:val="24"/>
        </w:rPr>
        <w:t xml:space="preserve">through </w:t>
      </w:r>
      <w:r w:rsidR="00E65154">
        <w:rPr>
          <w:sz w:val="24"/>
          <w:szCs w:val="24"/>
        </w:rPr>
        <w:t>the</w:t>
      </w:r>
      <w:r w:rsidR="00652152">
        <w:rPr>
          <w:sz w:val="24"/>
          <w:szCs w:val="24"/>
        </w:rPr>
        <w:t xml:space="preserve"> </w:t>
      </w:r>
      <w:r w:rsidR="00F1232B">
        <w:rPr>
          <w:sz w:val="24"/>
          <w:szCs w:val="24"/>
        </w:rPr>
        <w:t>submission form on</w:t>
      </w:r>
      <w:r w:rsidR="00E65154">
        <w:rPr>
          <w:sz w:val="24"/>
          <w:szCs w:val="24"/>
        </w:rPr>
        <w:t xml:space="preserve"> </w:t>
      </w:r>
      <w:hyperlink r:id="rId16" w:history="1">
        <w:r w:rsidR="00E65154" w:rsidRPr="00564D02">
          <w:rPr>
            <w:rStyle w:val="Hyperlink"/>
            <w:sz w:val="24"/>
            <w:szCs w:val="24"/>
          </w:rPr>
          <w:t>YourSay</w:t>
        </w:r>
      </w:hyperlink>
      <w:r w:rsidR="001F3473" w:rsidRPr="51315CAF">
        <w:rPr>
          <w:sz w:val="24"/>
          <w:szCs w:val="24"/>
        </w:rPr>
        <w:t xml:space="preserve">. </w:t>
      </w:r>
      <w:r w:rsidRPr="51315CAF">
        <w:rPr>
          <w:sz w:val="24"/>
          <w:szCs w:val="24"/>
        </w:rPr>
        <w:t>Alternatively, submissions can be sent to:</w:t>
      </w:r>
    </w:p>
    <w:p w14:paraId="1A01F619" w14:textId="77777777" w:rsidR="002D4F3A" w:rsidRPr="00A14376" w:rsidRDefault="002D4F3A" w:rsidP="002D4F3A">
      <w:pPr>
        <w:pStyle w:val="NoSpacing"/>
        <w:rPr>
          <w:sz w:val="24"/>
          <w:szCs w:val="24"/>
        </w:rPr>
      </w:pPr>
    </w:p>
    <w:p w14:paraId="584ADDF8" w14:textId="77777777" w:rsidR="002D4F3A" w:rsidRPr="00A14376" w:rsidRDefault="006079B6" w:rsidP="002D4F3A">
      <w:pPr>
        <w:pStyle w:val="NoSpacing"/>
        <w:rPr>
          <w:sz w:val="24"/>
          <w:szCs w:val="24"/>
        </w:rPr>
      </w:pPr>
      <w:r w:rsidRPr="2A2C5D90">
        <w:rPr>
          <w:sz w:val="24"/>
          <w:szCs w:val="24"/>
        </w:rPr>
        <w:t>Modernising the ACT’s utility and energy retailer laws</w:t>
      </w:r>
    </w:p>
    <w:p w14:paraId="4B325879" w14:textId="43296F7A" w:rsidR="002D4F3A" w:rsidRPr="00A14376" w:rsidRDefault="002D4F3A" w:rsidP="002D4F3A">
      <w:pPr>
        <w:pStyle w:val="NoSpacing"/>
        <w:rPr>
          <w:sz w:val="24"/>
          <w:szCs w:val="24"/>
        </w:rPr>
      </w:pPr>
      <w:r w:rsidRPr="00A14376">
        <w:rPr>
          <w:sz w:val="24"/>
          <w:szCs w:val="24"/>
        </w:rPr>
        <w:t>C/- M</w:t>
      </w:r>
      <w:r w:rsidR="001B059D">
        <w:rPr>
          <w:sz w:val="24"/>
          <w:szCs w:val="24"/>
        </w:rPr>
        <w:t>r</w:t>
      </w:r>
      <w:r w:rsidRPr="00A14376">
        <w:rPr>
          <w:sz w:val="24"/>
          <w:szCs w:val="24"/>
        </w:rPr>
        <w:t xml:space="preserve"> </w:t>
      </w:r>
      <w:r w:rsidR="004C13C4">
        <w:rPr>
          <w:sz w:val="24"/>
          <w:szCs w:val="24"/>
        </w:rPr>
        <w:t>Nathan Brown</w:t>
      </w:r>
      <w:r w:rsidRPr="00A14376">
        <w:rPr>
          <w:sz w:val="24"/>
          <w:szCs w:val="24"/>
        </w:rPr>
        <w:t xml:space="preserve"> </w:t>
      </w:r>
    </w:p>
    <w:p w14:paraId="6578EA94" w14:textId="77777777" w:rsidR="002D4F3A" w:rsidRPr="00A14376" w:rsidRDefault="002D4F3A" w:rsidP="002D4F3A">
      <w:pPr>
        <w:pStyle w:val="NoSpacing"/>
        <w:rPr>
          <w:sz w:val="24"/>
          <w:szCs w:val="24"/>
        </w:rPr>
      </w:pPr>
      <w:r w:rsidRPr="00A14376">
        <w:rPr>
          <w:sz w:val="24"/>
          <w:szCs w:val="24"/>
        </w:rPr>
        <w:t>Economic and Financial Group</w:t>
      </w:r>
    </w:p>
    <w:p w14:paraId="6ACC1AB0" w14:textId="77777777" w:rsidR="002D4F3A" w:rsidRPr="00A14376" w:rsidRDefault="002D4F3A" w:rsidP="002D4F3A">
      <w:pPr>
        <w:pStyle w:val="NoSpacing"/>
        <w:rPr>
          <w:sz w:val="24"/>
          <w:szCs w:val="24"/>
        </w:rPr>
      </w:pPr>
      <w:r w:rsidRPr="00A14376">
        <w:rPr>
          <w:sz w:val="24"/>
          <w:szCs w:val="24"/>
        </w:rPr>
        <w:t>Chief Minister, Treasury and Economic Development Directorate</w:t>
      </w:r>
    </w:p>
    <w:p w14:paraId="3328B37F" w14:textId="77777777" w:rsidR="002D4F3A" w:rsidRPr="003474C6" w:rsidRDefault="002D4F3A" w:rsidP="002D4F3A">
      <w:pPr>
        <w:pStyle w:val="NoSpacing"/>
        <w:rPr>
          <w:sz w:val="24"/>
          <w:szCs w:val="24"/>
        </w:rPr>
      </w:pPr>
      <w:r w:rsidRPr="003474C6">
        <w:rPr>
          <w:sz w:val="24"/>
          <w:szCs w:val="24"/>
        </w:rPr>
        <w:t>GPO Box 158</w:t>
      </w:r>
    </w:p>
    <w:p w14:paraId="3B7AD5CB" w14:textId="77777777" w:rsidR="002D4F3A" w:rsidRDefault="002D4F3A" w:rsidP="002D4F3A">
      <w:pPr>
        <w:pStyle w:val="NoSpacing"/>
        <w:rPr>
          <w:sz w:val="24"/>
          <w:szCs w:val="24"/>
        </w:rPr>
      </w:pPr>
      <w:r w:rsidRPr="003474C6">
        <w:rPr>
          <w:sz w:val="24"/>
          <w:szCs w:val="24"/>
        </w:rPr>
        <w:t>CANBERRA CITY ACT 2601</w:t>
      </w:r>
    </w:p>
    <w:p w14:paraId="7268B199" w14:textId="77777777" w:rsidR="002D4F3A" w:rsidRPr="00A14376" w:rsidRDefault="002D4F3A" w:rsidP="002D4F3A">
      <w:pPr>
        <w:pStyle w:val="NoSpacing"/>
        <w:rPr>
          <w:sz w:val="24"/>
          <w:szCs w:val="24"/>
        </w:rPr>
      </w:pPr>
    </w:p>
    <w:p w14:paraId="35722727" w14:textId="77777777" w:rsidR="00852256" w:rsidRDefault="00852256" w:rsidP="00852256">
      <w:pPr>
        <w:pStyle w:val="Header"/>
        <w:widowControl/>
        <w:tabs>
          <w:tab w:val="clear" w:pos="4320"/>
          <w:tab w:val="clear" w:pos="8640"/>
        </w:tabs>
        <w:contextualSpacing/>
        <w:rPr>
          <w:rFonts w:ascii="Calibri" w:hAnsi="Calibri" w:cs="Arial"/>
          <w:szCs w:val="24"/>
          <w:lang w:val="en-AU"/>
        </w:rPr>
      </w:pPr>
      <w:r>
        <w:rPr>
          <w:rFonts w:ascii="Calibri" w:hAnsi="Calibri" w:cs="Arial"/>
          <w:szCs w:val="24"/>
          <w:lang w:val="en-AU"/>
        </w:rPr>
        <w:t xml:space="preserve">Submissions do not need to address all issues and questions outlined in the </w:t>
      </w:r>
      <w:r w:rsidR="006C4681">
        <w:rPr>
          <w:rFonts w:ascii="Calibri" w:hAnsi="Calibri" w:cs="Arial"/>
          <w:szCs w:val="24"/>
          <w:lang w:val="en-AU"/>
        </w:rPr>
        <w:t>Consultation</w:t>
      </w:r>
      <w:r>
        <w:rPr>
          <w:rFonts w:ascii="Calibri" w:hAnsi="Calibri" w:cs="Arial"/>
          <w:szCs w:val="24"/>
          <w:lang w:val="en-AU"/>
        </w:rPr>
        <w:t xml:space="preserve"> Paper, and while those considering making a submission are encouraged to provide evidence in support of their views, submissions do not need to be detailed documents. </w:t>
      </w:r>
    </w:p>
    <w:p w14:paraId="7754E4A6" w14:textId="77777777" w:rsidR="002D4F3A" w:rsidRDefault="002D4F3A" w:rsidP="00AE54B7">
      <w:pPr>
        <w:pStyle w:val="NoSpacing"/>
        <w:rPr>
          <w:sz w:val="24"/>
          <w:szCs w:val="24"/>
        </w:rPr>
      </w:pPr>
    </w:p>
    <w:p w14:paraId="0ED49A36" w14:textId="77777777" w:rsidR="005158B0" w:rsidRDefault="00DA62D8" w:rsidP="005158B0">
      <w:pPr>
        <w:pStyle w:val="NoSpacing"/>
        <w:rPr>
          <w:sz w:val="24"/>
          <w:szCs w:val="24"/>
        </w:rPr>
      </w:pPr>
      <w:r>
        <w:rPr>
          <w:sz w:val="24"/>
          <w:szCs w:val="24"/>
        </w:rPr>
        <w:t xml:space="preserve">If </w:t>
      </w:r>
      <w:r w:rsidR="005D2F52">
        <w:rPr>
          <w:sz w:val="24"/>
          <w:szCs w:val="24"/>
        </w:rPr>
        <w:t>confidential information</w:t>
      </w:r>
      <w:r>
        <w:rPr>
          <w:sz w:val="24"/>
          <w:szCs w:val="24"/>
        </w:rPr>
        <w:t xml:space="preserve"> is included in a </w:t>
      </w:r>
      <w:proofErr w:type="gramStart"/>
      <w:r>
        <w:rPr>
          <w:sz w:val="24"/>
          <w:szCs w:val="24"/>
        </w:rPr>
        <w:t>submission</w:t>
      </w:r>
      <w:proofErr w:type="gramEnd"/>
      <w:r w:rsidR="005158B0" w:rsidRPr="005158B0">
        <w:rPr>
          <w:sz w:val="24"/>
          <w:szCs w:val="24"/>
        </w:rPr>
        <w:t xml:space="preserve"> </w:t>
      </w:r>
      <w:r w:rsidR="005158B0">
        <w:rPr>
          <w:sz w:val="24"/>
          <w:szCs w:val="24"/>
        </w:rPr>
        <w:t xml:space="preserve">it </w:t>
      </w:r>
      <w:r w:rsidR="005158B0" w:rsidRPr="0022738D">
        <w:rPr>
          <w:sz w:val="24"/>
          <w:szCs w:val="24"/>
        </w:rPr>
        <w:t>must be clearly marked “CONFIDENTIAL” either in part or in full, with the reasons included. Where material is only confidential in part, a separate submission should also be provided with the confidential material removed.</w:t>
      </w:r>
    </w:p>
    <w:p w14:paraId="0D2CBE4C" w14:textId="77777777" w:rsidR="005158B0" w:rsidRDefault="005158B0" w:rsidP="005158B0">
      <w:pPr>
        <w:pStyle w:val="NoSpacing"/>
        <w:rPr>
          <w:sz w:val="24"/>
          <w:szCs w:val="24"/>
        </w:rPr>
      </w:pPr>
    </w:p>
    <w:p w14:paraId="088D1153" w14:textId="77777777" w:rsidR="005D2F52" w:rsidRPr="007A10A3" w:rsidRDefault="002D4F3A" w:rsidP="005D2F52">
      <w:pPr>
        <w:pStyle w:val="NoSpacing"/>
        <w:rPr>
          <w:sz w:val="24"/>
          <w:szCs w:val="24"/>
        </w:rPr>
      </w:pPr>
      <w:r>
        <w:rPr>
          <w:sz w:val="24"/>
          <w:szCs w:val="24"/>
        </w:rPr>
        <w:t>A</w:t>
      </w:r>
      <w:r w:rsidR="005D2F52" w:rsidRPr="007A10A3">
        <w:rPr>
          <w:sz w:val="24"/>
          <w:szCs w:val="24"/>
        </w:rPr>
        <w:t xml:space="preserve">ll written submissions received will be published on the </w:t>
      </w:r>
      <w:r w:rsidR="001B059D">
        <w:rPr>
          <w:sz w:val="24"/>
          <w:szCs w:val="24"/>
        </w:rPr>
        <w:t>YourSay</w:t>
      </w:r>
      <w:r w:rsidR="005D2F52" w:rsidRPr="007A10A3">
        <w:rPr>
          <w:sz w:val="24"/>
          <w:szCs w:val="24"/>
        </w:rPr>
        <w:t xml:space="preserve"> website</w:t>
      </w:r>
      <w:r w:rsidR="005D2F52">
        <w:rPr>
          <w:sz w:val="24"/>
          <w:szCs w:val="24"/>
        </w:rPr>
        <w:t xml:space="preserve"> after</w:t>
      </w:r>
      <w:r w:rsidR="001F3473">
        <w:rPr>
          <w:sz w:val="24"/>
          <w:szCs w:val="24"/>
        </w:rPr>
        <w:t xml:space="preserve"> the removal of</w:t>
      </w:r>
      <w:r w:rsidR="005D2F52">
        <w:rPr>
          <w:sz w:val="24"/>
          <w:szCs w:val="24"/>
        </w:rPr>
        <w:t xml:space="preserve"> any contact details (such as email addresses</w:t>
      </w:r>
      <w:r w:rsidR="001F3473">
        <w:rPr>
          <w:sz w:val="24"/>
          <w:szCs w:val="24"/>
        </w:rPr>
        <w:t>) and content highlighted as confidential</w:t>
      </w:r>
      <w:r w:rsidR="005D2F52" w:rsidRPr="007A10A3">
        <w:rPr>
          <w:sz w:val="24"/>
          <w:szCs w:val="24"/>
        </w:rPr>
        <w:t>.</w:t>
      </w:r>
      <w:r w:rsidR="00C13A88">
        <w:rPr>
          <w:sz w:val="24"/>
          <w:szCs w:val="24"/>
        </w:rPr>
        <w:t xml:space="preserve"> </w:t>
      </w:r>
    </w:p>
    <w:p w14:paraId="26DE5AF8" w14:textId="77777777" w:rsidR="005D2F52" w:rsidRDefault="005D2F52" w:rsidP="005D2F52">
      <w:pPr>
        <w:pStyle w:val="NoSpacing"/>
        <w:rPr>
          <w:sz w:val="24"/>
          <w:szCs w:val="24"/>
        </w:rPr>
      </w:pPr>
    </w:p>
    <w:p w14:paraId="3B54B050" w14:textId="77777777" w:rsidR="0022738D" w:rsidRDefault="002D4F3A" w:rsidP="00E23778">
      <w:pPr>
        <w:pStyle w:val="NoSpacing"/>
        <w:rPr>
          <w:sz w:val="24"/>
          <w:szCs w:val="24"/>
        </w:rPr>
      </w:pPr>
      <w:r>
        <w:rPr>
          <w:sz w:val="24"/>
          <w:szCs w:val="24"/>
        </w:rPr>
        <w:t>However,</w:t>
      </w:r>
      <w:r w:rsidR="005D2F52" w:rsidRPr="0022738D">
        <w:rPr>
          <w:sz w:val="24"/>
          <w:szCs w:val="24"/>
        </w:rPr>
        <w:t xml:space="preserve"> </w:t>
      </w:r>
      <w:r>
        <w:rPr>
          <w:sz w:val="24"/>
          <w:szCs w:val="24"/>
        </w:rPr>
        <w:t xml:space="preserve">it should be noted that </w:t>
      </w:r>
      <w:r w:rsidR="005D2F52" w:rsidRPr="0022738D">
        <w:rPr>
          <w:sz w:val="24"/>
          <w:szCs w:val="24"/>
        </w:rPr>
        <w:t xml:space="preserve">the documents are subject to the </w:t>
      </w:r>
      <w:r w:rsidR="005D2F52" w:rsidRPr="00FE256E">
        <w:rPr>
          <w:i/>
          <w:iCs/>
          <w:sz w:val="24"/>
          <w:szCs w:val="24"/>
        </w:rPr>
        <w:t xml:space="preserve">Freedom of Information Act </w:t>
      </w:r>
      <w:r w:rsidR="00537DFD">
        <w:rPr>
          <w:i/>
          <w:iCs/>
          <w:sz w:val="24"/>
          <w:szCs w:val="24"/>
        </w:rPr>
        <w:t>2016</w:t>
      </w:r>
      <w:r w:rsidR="00537DFD" w:rsidRPr="0022738D">
        <w:rPr>
          <w:sz w:val="24"/>
          <w:szCs w:val="24"/>
        </w:rPr>
        <w:t xml:space="preserve"> </w:t>
      </w:r>
      <w:r w:rsidR="005D2F52" w:rsidRPr="0022738D">
        <w:rPr>
          <w:sz w:val="24"/>
          <w:szCs w:val="24"/>
        </w:rPr>
        <w:t xml:space="preserve">(ACT). While </w:t>
      </w:r>
      <w:r w:rsidR="006F77D4">
        <w:rPr>
          <w:sz w:val="24"/>
          <w:szCs w:val="24"/>
        </w:rPr>
        <w:t>we</w:t>
      </w:r>
      <w:r w:rsidR="005D2F52" w:rsidRPr="0022738D">
        <w:rPr>
          <w:sz w:val="24"/>
          <w:szCs w:val="24"/>
        </w:rPr>
        <w:t xml:space="preserve"> </w:t>
      </w:r>
      <w:r w:rsidR="006F77D4" w:rsidRPr="0022738D">
        <w:rPr>
          <w:sz w:val="24"/>
          <w:szCs w:val="24"/>
        </w:rPr>
        <w:t>respect</w:t>
      </w:r>
      <w:r w:rsidR="005D2F52" w:rsidRPr="0022738D">
        <w:rPr>
          <w:sz w:val="24"/>
          <w:szCs w:val="24"/>
        </w:rPr>
        <w:t xml:space="preserve"> the wishes of those making submissions “in confidence”</w:t>
      </w:r>
      <w:r>
        <w:rPr>
          <w:sz w:val="24"/>
          <w:szCs w:val="24"/>
        </w:rPr>
        <w:t xml:space="preserve"> to the extent possible under the Act</w:t>
      </w:r>
      <w:r w:rsidR="005D2F52" w:rsidRPr="0022738D">
        <w:rPr>
          <w:sz w:val="24"/>
          <w:szCs w:val="24"/>
        </w:rPr>
        <w:t xml:space="preserve">, the application of </w:t>
      </w:r>
      <w:r>
        <w:rPr>
          <w:sz w:val="24"/>
          <w:szCs w:val="24"/>
        </w:rPr>
        <w:t>the</w:t>
      </w:r>
      <w:r w:rsidRPr="0022738D">
        <w:rPr>
          <w:sz w:val="24"/>
          <w:szCs w:val="24"/>
        </w:rPr>
        <w:t xml:space="preserve"> </w:t>
      </w:r>
      <w:r w:rsidR="005D2F52" w:rsidRPr="0022738D">
        <w:rPr>
          <w:sz w:val="24"/>
          <w:szCs w:val="24"/>
        </w:rPr>
        <w:t xml:space="preserve">Act in any </w:t>
      </w:r>
      <w:proofErr w:type="gramStart"/>
      <w:r w:rsidR="005D2F52" w:rsidRPr="0022738D">
        <w:rPr>
          <w:sz w:val="24"/>
          <w:szCs w:val="24"/>
        </w:rPr>
        <w:t>particular case</w:t>
      </w:r>
      <w:proofErr w:type="gramEnd"/>
      <w:r w:rsidR="005D2F52" w:rsidRPr="0022738D">
        <w:rPr>
          <w:sz w:val="24"/>
          <w:szCs w:val="24"/>
        </w:rPr>
        <w:t xml:space="preserve"> is ultimately outside </w:t>
      </w:r>
      <w:r w:rsidR="006C4681">
        <w:rPr>
          <w:sz w:val="24"/>
          <w:szCs w:val="24"/>
        </w:rPr>
        <w:t>our</w:t>
      </w:r>
      <w:r w:rsidR="005D2F52" w:rsidRPr="0022738D">
        <w:rPr>
          <w:sz w:val="24"/>
          <w:szCs w:val="24"/>
        </w:rPr>
        <w:t xml:space="preserve"> control. </w:t>
      </w:r>
      <w:r>
        <w:rPr>
          <w:sz w:val="24"/>
          <w:szCs w:val="24"/>
        </w:rPr>
        <w:t>Those wishing to</w:t>
      </w:r>
      <w:r w:rsidR="005D2F52" w:rsidRPr="0022738D">
        <w:rPr>
          <w:sz w:val="24"/>
          <w:szCs w:val="24"/>
        </w:rPr>
        <w:t xml:space="preserve"> make a submission in confidence </w:t>
      </w:r>
      <w:r>
        <w:rPr>
          <w:sz w:val="24"/>
          <w:szCs w:val="24"/>
        </w:rPr>
        <w:t>are</w:t>
      </w:r>
      <w:r w:rsidRPr="0022738D">
        <w:rPr>
          <w:sz w:val="24"/>
          <w:szCs w:val="24"/>
        </w:rPr>
        <w:t xml:space="preserve"> </w:t>
      </w:r>
      <w:r w:rsidR="005D2F52" w:rsidRPr="0022738D">
        <w:rPr>
          <w:sz w:val="24"/>
          <w:szCs w:val="24"/>
        </w:rPr>
        <w:t>asked to contact t</w:t>
      </w:r>
      <w:r w:rsidR="006C4681">
        <w:rPr>
          <w:sz w:val="24"/>
          <w:szCs w:val="24"/>
        </w:rPr>
        <w:t xml:space="preserve">he contact officer </w:t>
      </w:r>
      <w:r w:rsidR="005D2F52" w:rsidRPr="0022738D">
        <w:rPr>
          <w:sz w:val="24"/>
          <w:szCs w:val="24"/>
        </w:rPr>
        <w:t xml:space="preserve">before doing so. </w:t>
      </w:r>
    </w:p>
    <w:p w14:paraId="3AFCCD32" w14:textId="77777777" w:rsidR="005158B0" w:rsidRDefault="005158B0" w:rsidP="00E23778">
      <w:pPr>
        <w:pStyle w:val="NoSpacing"/>
        <w:rPr>
          <w:sz w:val="24"/>
          <w:szCs w:val="24"/>
        </w:rPr>
      </w:pPr>
    </w:p>
    <w:p w14:paraId="0F58D2BB" w14:textId="4C1499EE" w:rsidR="005158B0" w:rsidRPr="0022738D" w:rsidRDefault="006F77D4" w:rsidP="005158B0">
      <w:pPr>
        <w:pStyle w:val="NoSpacing"/>
        <w:rPr>
          <w:sz w:val="24"/>
          <w:szCs w:val="24"/>
        </w:rPr>
      </w:pPr>
      <w:r>
        <w:rPr>
          <w:sz w:val="24"/>
          <w:szCs w:val="24"/>
        </w:rPr>
        <w:t>We</w:t>
      </w:r>
      <w:r w:rsidR="006C4681">
        <w:rPr>
          <w:sz w:val="24"/>
          <w:szCs w:val="24"/>
        </w:rPr>
        <w:t xml:space="preserve"> </w:t>
      </w:r>
      <w:r w:rsidR="005158B0" w:rsidRPr="0022738D">
        <w:rPr>
          <w:sz w:val="24"/>
          <w:szCs w:val="24"/>
        </w:rPr>
        <w:t xml:space="preserve">will consider all submissions </w:t>
      </w:r>
      <w:r w:rsidR="005158B0">
        <w:rPr>
          <w:sz w:val="24"/>
          <w:szCs w:val="24"/>
        </w:rPr>
        <w:t xml:space="preserve">submitted </w:t>
      </w:r>
      <w:r w:rsidR="005158B0" w:rsidRPr="0022738D">
        <w:rPr>
          <w:sz w:val="24"/>
          <w:szCs w:val="24"/>
        </w:rPr>
        <w:t xml:space="preserve">by </w:t>
      </w:r>
      <w:r w:rsidR="001B059D">
        <w:rPr>
          <w:b/>
          <w:bCs/>
          <w:sz w:val="24"/>
          <w:szCs w:val="24"/>
        </w:rPr>
        <w:t>2</w:t>
      </w:r>
      <w:r w:rsidR="00BC490C">
        <w:rPr>
          <w:b/>
          <w:bCs/>
          <w:sz w:val="24"/>
          <w:szCs w:val="24"/>
        </w:rPr>
        <w:t>5</w:t>
      </w:r>
      <w:r w:rsidR="001B059D">
        <w:rPr>
          <w:b/>
          <w:bCs/>
          <w:sz w:val="24"/>
          <w:szCs w:val="24"/>
        </w:rPr>
        <w:t xml:space="preserve"> </w:t>
      </w:r>
      <w:r w:rsidR="00BC490C">
        <w:rPr>
          <w:b/>
          <w:bCs/>
          <w:sz w:val="24"/>
          <w:szCs w:val="24"/>
        </w:rPr>
        <w:t>October</w:t>
      </w:r>
      <w:r w:rsidR="001B059D">
        <w:rPr>
          <w:b/>
          <w:bCs/>
          <w:sz w:val="24"/>
          <w:szCs w:val="24"/>
        </w:rPr>
        <w:t xml:space="preserve"> 2023</w:t>
      </w:r>
      <w:r w:rsidR="005158B0" w:rsidRPr="00275CC6">
        <w:rPr>
          <w:sz w:val="24"/>
          <w:szCs w:val="24"/>
        </w:rPr>
        <w:t>.</w:t>
      </w:r>
      <w:r w:rsidR="005158B0" w:rsidRPr="0022738D">
        <w:rPr>
          <w:sz w:val="24"/>
          <w:szCs w:val="24"/>
        </w:rPr>
        <w:t xml:space="preserve"> </w:t>
      </w:r>
    </w:p>
    <w:p w14:paraId="5D99020F" w14:textId="77777777" w:rsidR="008C7921" w:rsidRPr="008C7921" w:rsidRDefault="008C7921" w:rsidP="008C7921"/>
    <w:p w14:paraId="1213A7DC" w14:textId="77777777" w:rsidR="006551D7" w:rsidRDefault="006551D7" w:rsidP="49FA850C">
      <w:pPr>
        <w:pStyle w:val="Heading1"/>
        <w:spacing w:before="0" w:after="240"/>
        <w:sectPr w:rsidR="006551D7" w:rsidSect="005A1C2C">
          <w:pgSz w:w="11906" w:h="16838"/>
          <w:pgMar w:top="1440" w:right="1440" w:bottom="1440" w:left="1440" w:header="708" w:footer="405" w:gutter="0"/>
          <w:cols w:space="708"/>
          <w:titlePg/>
          <w:docGrid w:linePitch="360"/>
        </w:sectPr>
      </w:pPr>
      <w:bookmarkStart w:id="24" w:name="_Toc146284762"/>
      <w:bookmarkStart w:id="25" w:name="_Toc64388888"/>
      <w:bookmarkStart w:id="26" w:name="_Toc65491622"/>
    </w:p>
    <w:p w14:paraId="51F0E725" w14:textId="72892314" w:rsidR="008F7E20" w:rsidRDefault="00A15B9D" w:rsidP="49FA850C">
      <w:pPr>
        <w:pStyle w:val="Heading1"/>
        <w:spacing w:before="0" w:after="240"/>
        <w:rPr>
          <w:rStyle w:val="Heading1Char"/>
        </w:rPr>
      </w:pPr>
      <w:r>
        <w:lastRenderedPageBreak/>
        <w:t>3</w:t>
      </w:r>
      <w:r w:rsidR="009E1404" w:rsidRPr="00F32CA6">
        <w:t xml:space="preserve">. </w:t>
      </w:r>
      <w:r w:rsidR="008F7E20" w:rsidRPr="007E3BFC">
        <w:rPr>
          <w:rStyle w:val="Heading1Char"/>
          <w:b/>
          <w:bCs/>
        </w:rPr>
        <w:t>Background</w:t>
      </w:r>
      <w:bookmarkEnd w:id="24"/>
      <w:r w:rsidR="008F7E20" w:rsidRPr="49FA850C">
        <w:rPr>
          <w:rStyle w:val="Heading1Char"/>
        </w:rPr>
        <w:t xml:space="preserve"> </w:t>
      </w:r>
      <w:bookmarkEnd w:id="25"/>
      <w:bookmarkEnd w:id="26"/>
    </w:p>
    <w:p w14:paraId="21E04D49" w14:textId="2D38F528" w:rsidR="001D6FB8" w:rsidRDefault="00651AEE" w:rsidP="00570484">
      <w:pPr>
        <w:rPr>
          <w:rFonts w:ascii="Calibri" w:eastAsia="Calibri" w:hAnsi="Calibri" w:cs="Calibri"/>
          <w:lang w:eastAsia="en-US"/>
        </w:rPr>
      </w:pPr>
      <w:r>
        <w:rPr>
          <w:rFonts w:ascii="Calibri" w:eastAsia="Calibri" w:hAnsi="Calibri" w:cs="Calibri"/>
          <w:lang w:eastAsia="en-US"/>
        </w:rPr>
        <w:t xml:space="preserve">The ICRC is the independent </w:t>
      </w:r>
      <w:r w:rsidR="0029239E" w:rsidRPr="0029239E">
        <w:rPr>
          <w:rFonts w:ascii="Calibri" w:eastAsia="Calibri" w:hAnsi="Calibri" w:cs="Calibri"/>
          <w:lang w:eastAsia="en-US"/>
        </w:rPr>
        <w:t>economic regulator of energy and water services in the Australian Capital Territory (ACT)</w:t>
      </w:r>
      <w:r w:rsidR="001D6FB8">
        <w:rPr>
          <w:rFonts w:ascii="Calibri" w:eastAsia="Calibri" w:hAnsi="Calibri" w:cs="Calibri"/>
          <w:lang w:eastAsia="en-US"/>
        </w:rPr>
        <w:t xml:space="preserve">. It </w:t>
      </w:r>
      <w:r w:rsidR="0029239E" w:rsidRPr="0029239E">
        <w:rPr>
          <w:rFonts w:ascii="Calibri" w:eastAsia="Calibri" w:hAnsi="Calibri" w:cs="Calibri"/>
          <w:lang w:eastAsia="en-US"/>
        </w:rPr>
        <w:t>facilitates better energy and water service delivery and competition for the benefit of Canberra’s consumers</w:t>
      </w:r>
      <w:r w:rsidR="001D6FB8">
        <w:rPr>
          <w:rFonts w:ascii="Calibri" w:eastAsia="Calibri" w:hAnsi="Calibri" w:cs="Calibri"/>
          <w:lang w:eastAsia="en-US"/>
        </w:rPr>
        <w:t xml:space="preserve"> through ensuring fair prices to Canberrans for electricity and water. </w:t>
      </w:r>
      <w:r w:rsidR="001B2B79">
        <w:rPr>
          <w:rFonts w:ascii="Calibri" w:eastAsia="Calibri" w:hAnsi="Calibri" w:cs="Calibri"/>
          <w:lang w:eastAsia="en-US"/>
        </w:rPr>
        <w:t>Further, i</w:t>
      </w:r>
      <w:r w:rsidR="001D6FB8">
        <w:rPr>
          <w:rFonts w:ascii="Calibri" w:eastAsia="Calibri" w:hAnsi="Calibri" w:cs="Calibri"/>
          <w:lang w:eastAsia="en-US"/>
        </w:rPr>
        <w:t>t is also responsible</w:t>
      </w:r>
      <w:r w:rsidR="001B2B79">
        <w:rPr>
          <w:rFonts w:ascii="Calibri" w:eastAsia="Calibri" w:hAnsi="Calibri" w:cs="Calibri"/>
          <w:lang w:eastAsia="en-US"/>
        </w:rPr>
        <w:t>, through the Utilities Act,</w:t>
      </w:r>
      <w:r w:rsidR="001D6FB8">
        <w:rPr>
          <w:rFonts w:ascii="Calibri" w:eastAsia="Calibri" w:hAnsi="Calibri" w:cs="Calibri"/>
          <w:lang w:eastAsia="en-US"/>
        </w:rPr>
        <w:t xml:space="preserve"> for ensuring utilities and </w:t>
      </w:r>
      <w:r w:rsidR="004436AC">
        <w:rPr>
          <w:rFonts w:ascii="Calibri" w:eastAsia="Calibri" w:hAnsi="Calibri" w:cs="Calibri"/>
          <w:lang w:eastAsia="en-US"/>
        </w:rPr>
        <w:t>energy</w:t>
      </w:r>
      <w:r w:rsidR="001D6FB8">
        <w:rPr>
          <w:rFonts w:ascii="Calibri" w:eastAsia="Calibri" w:hAnsi="Calibri" w:cs="Calibri"/>
          <w:lang w:eastAsia="en-US"/>
        </w:rPr>
        <w:t xml:space="preserve"> retailers meet </w:t>
      </w:r>
      <w:r w:rsidR="4BD783EA" w:rsidRPr="6831997F">
        <w:rPr>
          <w:rFonts w:ascii="Calibri" w:eastAsia="Calibri" w:hAnsi="Calibri" w:cs="Calibri"/>
          <w:lang w:eastAsia="en-US"/>
        </w:rPr>
        <w:t xml:space="preserve">guaranteed service level </w:t>
      </w:r>
      <w:r w:rsidR="00A5144D" w:rsidRPr="6831997F">
        <w:rPr>
          <w:rFonts w:ascii="Calibri" w:eastAsia="Calibri" w:hAnsi="Calibri" w:cs="Calibri"/>
          <w:lang w:eastAsia="en-US"/>
        </w:rPr>
        <w:t>requirements</w:t>
      </w:r>
      <w:r w:rsidR="001D6FB8">
        <w:rPr>
          <w:rFonts w:ascii="Calibri" w:eastAsia="Calibri" w:hAnsi="Calibri" w:cs="Calibri"/>
          <w:lang w:eastAsia="en-US"/>
        </w:rPr>
        <w:t xml:space="preserve"> and are </w:t>
      </w:r>
      <w:r w:rsidR="001D6FB8">
        <w:rPr>
          <w:rFonts w:ascii="Calibri" w:hAnsi="Calibri" w:cs="Arial"/>
        </w:rPr>
        <w:t>transparent in their marketing of price offerings</w:t>
      </w:r>
      <w:r w:rsidR="001D6FB8">
        <w:rPr>
          <w:rFonts w:ascii="Calibri" w:eastAsia="Calibri" w:hAnsi="Calibri" w:cs="Calibri"/>
          <w:lang w:eastAsia="en-US"/>
        </w:rPr>
        <w:t xml:space="preserve">. </w:t>
      </w:r>
    </w:p>
    <w:p w14:paraId="3501B101" w14:textId="77777777" w:rsidR="00570484" w:rsidRDefault="00570484" w:rsidP="00570484">
      <w:pPr>
        <w:rPr>
          <w:rFonts w:ascii="Calibri" w:eastAsia="Calibri" w:hAnsi="Calibri" w:cs="Calibri"/>
          <w:lang w:eastAsia="en-US"/>
        </w:rPr>
      </w:pPr>
    </w:p>
    <w:p w14:paraId="1CF031C8" w14:textId="1C05E5E1" w:rsidR="00570484" w:rsidRPr="003D0F36" w:rsidRDefault="00A278C7" w:rsidP="00E659D6">
      <w:pPr>
        <w:suppressAutoHyphens/>
        <w:rPr>
          <w:rFonts w:ascii="Calibri" w:eastAsia="SimSun" w:hAnsi="Calibri"/>
          <w:color w:val="000000"/>
          <w:lang w:eastAsia="zh-CN"/>
        </w:rPr>
      </w:pPr>
      <w:r w:rsidRPr="003D0F36">
        <w:rPr>
          <w:rFonts w:ascii="Calibri" w:eastAsia="SimSun" w:hAnsi="Calibri"/>
          <w:color w:val="000000"/>
          <w:lang w:eastAsia="zh-CN"/>
        </w:rPr>
        <w:t xml:space="preserve">The Utilities Act is the main vehicle for the ACT Government in driving change in the utility and energy retailer sectors. </w:t>
      </w:r>
      <w:r w:rsidR="00627A08">
        <w:rPr>
          <w:rFonts w:ascii="Calibri" w:eastAsia="SimSun" w:hAnsi="Calibri"/>
          <w:color w:val="000000"/>
          <w:lang w:eastAsia="zh-CN"/>
        </w:rPr>
        <w:t>Under</w:t>
      </w:r>
      <w:r w:rsidRPr="003D0F36">
        <w:rPr>
          <w:rFonts w:ascii="Calibri" w:eastAsia="SimSun" w:hAnsi="Calibri"/>
          <w:color w:val="000000"/>
          <w:lang w:eastAsia="zh-CN"/>
        </w:rPr>
        <w:t xml:space="preserve"> the </w:t>
      </w:r>
      <w:r>
        <w:rPr>
          <w:rFonts w:ascii="Calibri" w:eastAsia="SimSun" w:hAnsi="Calibri"/>
          <w:color w:val="000000"/>
          <w:lang w:eastAsia="zh-CN"/>
        </w:rPr>
        <w:t>Act</w:t>
      </w:r>
      <w:r w:rsidRPr="003D0F36">
        <w:rPr>
          <w:rFonts w:ascii="Calibri" w:eastAsia="SimSun" w:hAnsi="Calibri"/>
          <w:color w:val="000000"/>
          <w:lang w:eastAsia="zh-CN"/>
        </w:rPr>
        <w:t>, industry codes play an important role by:</w:t>
      </w:r>
    </w:p>
    <w:p w14:paraId="45B284E5" w14:textId="77777777" w:rsidR="00A278C7" w:rsidRPr="003D0F36" w:rsidRDefault="00A278C7" w:rsidP="00E659D6">
      <w:pPr>
        <w:numPr>
          <w:ilvl w:val="0"/>
          <w:numId w:val="11"/>
        </w:numPr>
        <w:suppressAutoHyphens/>
        <w:rPr>
          <w:rFonts w:ascii="Calibri" w:eastAsia="SimSun" w:hAnsi="Calibri"/>
          <w:color w:val="000000"/>
          <w:lang w:eastAsia="zh-CN"/>
        </w:rPr>
      </w:pPr>
      <w:r w:rsidRPr="003D0F36">
        <w:rPr>
          <w:rFonts w:ascii="Calibri" w:eastAsia="SimSun" w:hAnsi="Calibri"/>
          <w:color w:val="000000"/>
          <w:lang w:eastAsia="zh-CN"/>
        </w:rPr>
        <w:t>providing stronger consumer protections;</w:t>
      </w:r>
    </w:p>
    <w:p w14:paraId="6CA12AB8" w14:textId="77777777" w:rsidR="00A278C7" w:rsidRPr="003D0F36" w:rsidRDefault="00A278C7" w:rsidP="00E659D6">
      <w:pPr>
        <w:numPr>
          <w:ilvl w:val="0"/>
          <w:numId w:val="11"/>
        </w:numPr>
        <w:suppressAutoHyphens/>
        <w:rPr>
          <w:rFonts w:ascii="Calibri" w:eastAsia="SimSun" w:hAnsi="Calibri"/>
          <w:color w:val="000000"/>
          <w:lang w:eastAsia="zh-CN"/>
        </w:rPr>
      </w:pPr>
      <w:r w:rsidRPr="003D0F36">
        <w:rPr>
          <w:rFonts w:ascii="Calibri" w:eastAsia="SimSun" w:hAnsi="Calibri"/>
          <w:color w:val="000000"/>
          <w:lang w:eastAsia="zh-CN"/>
        </w:rPr>
        <w:t>improving choice to encourage reliable and affordable energy outcomes;</w:t>
      </w:r>
    </w:p>
    <w:p w14:paraId="7DF0B366" w14:textId="6D5C679A" w:rsidR="00A278C7" w:rsidRPr="003D0F36" w:rsidRDefault="00A278C7" w:rsidP="00E659D6">
      <w:pPr>
        <w:numPr>
          <w:ilvl w:val="0"/>
          <w:numId w:val="11"/>
        </w:numPr>
        <w:suppressAutoHyphens/>
        <w:rPr>
          <w:rFonts w:ascii="Calibri" w:eastAsia="SimSun" w:hAnsi="Calibri"/>
          <w:color w:val="000000"/>
          <w:lang w:eastAsia="zh-CN"/>
        </w:rPr>
      </w:pPr>
      <w:r w:rsidRPr="003D0F36">
        <w:rPr>
          <w:rFonts w:ascii="Calibri" w:eastAsia="SimSun" w:hAnsi="Calibri"/>
          <w:color w:val="000000"/>
          <w:lang w:eastAsia="zh-CN"/>
        </w:rPr>
        <w:t>provid</w:t>
      </w:r>
      <w:r w:rsidR="00627A08">
        <w:rPr>
          <w:rFonts w:ascii="Calibri" w:eastAsia="SimSun" w:hAnsi="Calibri"/>
          <w:color w:val="000000"/>
          <w:lang w:eastAsia="zh-CN"/>
        </w:rPr>
        <w:t>ing</w:t>
      </w:r>
      <w:r w:rsidRPr="003D0F36">
        <w:rPr>
          <w:rFonts w:ascii="Calibri" w:eastAsia="SimSun" w:hAnsi="Calibri"/>
          <w:color w:val="000000"/>
          <w:lang w:eastAsia="zh-CN"/>
        </w:rPr>
        <w:t xml:space="preserve"> consumers clear information about the prices and services available; and</w:t>
      </w:r>
    </w:p>
    <w:p w14:paraId="161F5940" w14:textId="424A120B" w:rsidR="00A278C7" w:rsidRPr="003D0F36" w:rsidRDefault="00A278C7" w:rsidP="00E659D6">
      <w:pPr>
        <w:numPr>
          <w:ilvl w:val="0"/>
          <w:numId w:val="11"/>
        </w:numPr>
        <w:suppressAutoHyphens/>
        <w:rPr>
          <w:rFonts w:ascii="Calibri" w:eastAsia="SimSun" w:hAnsi="Calibri"/>
          <w:color w:val="000000"/>
          <w:lang w:eastAsia="zh-CN"/>
        </w:rPr>
      </w:pPr>
      <w:r w:rsidRPr="003D0F36">
        <w:rPr>
          <w:rFonts w:ascii="Calibri" w:eastAsia="SimSun" w:hAnsi="Calibri"/>
          <w:color w:val="000000"/>
          <w:lang w:eastAsia="zh-CN"/>
        </w:rPr>
        <w:t>encourag</w:t>
      </w:r>
      <w:r w:rsidR="00627A08">
        <w:rPr>
          <w:rFonts w:ascii="Calibri" w:eastAsia="SimSun" w:hAnsi="Calibri"/>
          <w:color w:val="000000"/>
          <w:lang w:eastAsia="zh-CN"/>
        </w:rPr>
        <w:t>ing</w:t>
      </w:r>
      <w:r w:rsidRPr="003D0F36">
        <w:rPr>
          <w:rFonts w:ascii="Calibri" w:eastAsia="SimSun" w:hAnsi="Calibri"/>
          <w:color w:val="000000"/>
          <w:lang w:eastAsia="zh-CN"/>
        </w:rPr>
        <w:t xml:space="preserve"> smarter use of energy. </w:t>
      </w:r>
    </w:p>
    <w:p w14:paraId="4BAFB634" w14:textId="77777777" w:rsidR="00570484" w:rsidRDefault="00570484" w:rsidP="00570484">
      <w:pPr>
        <w:suppressAutoHyphens/>
        <w:rPr>
          <w:rFonts w:ascii="Calibri" w:eastAsia="SimSun" w:hAnsi="Calibri"/>
          <w:color w:val="000000"/>
          <w:lang w:eastAsia="zh-CN"/>
        </w:rPr>
      </w:pPr>
    </w:p>
    <w:p w14:paraId="2EEDCD72" w14:textId="77777777" w:rsidR="00A278C7" w:rsidRPr="003D0F36" w:rsidRDefault="00A278C7" w:rsidP="00E659D6">
      <w:pPr>
        <w:suppressAutoHyphens/>
        <w:rPr>
          <w:rFonts w:ascii="Calibri" w:eastAsia="SimSun" w:hAnsi="Calibri"/>
          <w:color w:val="000000"/>
          <w:lang w:eastAsia="zh-CN"/>
        </w:rPr>
      </w:pPr>
      <w:r w:rsidRPr="003D0F36">
        <w:rPr>
          <w:rFonts w:ascii="Calibri" w:eastAsia="SimSun" w:hAnsi="Calibri"/>
          <w:color w:val="000000"/>
          <w:lang w:eastAsia="zh-CN"/>
        </w:rPr>
        <w:t>Non-compliance with industry codes reduces the quality of services received by consumers and their ability to manage cost of living pressures.</w:t>
      </w:r>
    </w:p>
    <w:p w14:paraId="73EF5F1C" w14:textId="77777777" w:rsidR="001D6FB8" w:rsidRDefault="001D6FB8" w:rsidP="00570484">
      <w:pPr>
        <w:rPr>
          <w:rFonts w:ascii="Calibri" w:eastAsia="Calibri" w:hAnsi="Calibri" w:cs="Calibri"/>
          <w:lang w:eastAsia="en-US"/>
        </w:rPr>
      </w:pPr>
    </w:p>
    <w:p w14:paraId="1CB5EE40" w14:textId="2273F087" w:rsidR="0029239E" w:rsidRDefault="001D6FB8" w:rsidP="1D8F48DA">
      <w:pPr>
        <w:pStyle w:val="Header"/>
        <w:widowControl/>
        <w:tabs>
          <w:tab w:val="clear" w:pos="4320"/>
          <w:tab w:val="clear" w:pos="8640"/>
        </w:tabs>
        <w:contextualSpacing/>
        <w:rPr>
          <w:rFonts w:ascii="Calibri" w:hAnsi="Calibri" w:cs="Arial"/>
          <w:lang w:val="en-AU"/>
        </w:rPr>
      </w:pPr>
      <w:r w:rsidRPr="1D8F48DA">
        <w:rPr>
          <w:rFonts w:ascii="Calibri" w:eastAsia="Calibri" w:hAnsi="Calibri" w:cs="Calibri"/>
        </w:rPr>
        <w:t xml:space="preserve">This </w:t>
      </w:r>
      <w:r w:rsidR="2E0BF34D" w:rsidRPr="1D8F48DA">
        <w:rPr>
          <w:rFonts w:ascii="Calibri" w:eastAsia="Calibri" w:hAnsi="Calibri" w:cs="Calibri"/>
        </w:rPr>
        <w:t>C</w:t>
      </w:r>
      <w:r w:rsidRPr="1D8F48DA">
        <w:rPr>
          <w:rFonts w:ascii="Calibri" w:eastAsia="Calibri" w:hAnsi="Calibri" w:cs="Calibri"/>
        </w:rPr>
        <w:t xml:space="preserve">onsultation </w:t>
      </w:r>
      <w:r w:rsidR="4D0C33E2" w:rsidRPr="1D8F48DA">
        <w:rPr>
          <w:rFonts w:ascii="Calibri" w:eastAsia="Calibri" w:hAnsi="Calibri" w:cs="Calibri"/>
        </w:rPr>
        <w:t>P</w:t>
      </w:r>
      <w:r w:rsidRPr="1D8F48DA">
        <w:rPr>
          <w:rFonts w:ascii="Calibri" w:eastAsia="Calibri" w:hAnsi="Calibri" w:cs="Calibri"/>
        </w:rPr>
        <w:t xml:space="preserve">aper </w:t>
      </w:r>
      <w:r w:rsidR="006F3F99" w:rsidRPr="1D8F48DA">
        <w:rPr>
          <w:rFonts w:ascii="Calibri" w:eastAsia="Calibri" w:hAnsi="Calibri" w:cs="Calibri"/>
        </w:rPr>
        <w:t xml:space="preserve">seeks feedback on </w:t>
      </w:r>
      <w:r w:rsidRPr="1D8F48DA">
        <w:rPr>
          <w:rFonts w:ascii="Calibri" w:eastAsia="Calibri" w:hAnsi="Calibri" w:cs="Calibri"/>
        </w:rPr>
        <w:t xml:space="preserve">the </w:t>
      </w:r>
      <w:r w:rsidR="001B2B79" w:rsidRPr="1D8F48DA">
        <w:rPr>
          <w:rFonts w:ascii="Calibri" w:eastAsia="Calibri" w:hAnsi="Calibri" w:cs="Calibri"/>
        </w:rPr>
        <w:t xml:space="preserve">desirability of </w:t>
      </w:r>
      <w:r w:rsidR="5823E862" w:rsidRPr="1D8F48DA">
        <w:rPr>
          <w:rFonts w:ascii="Calibri" w:eastAsia="Calibri" w:hAnsi="Calibri" w:cs="Calibri"/>
        </w:rPr>
        <w:t xml:space="preserve">whether additional </w:t>
      </w:r>
      <w:r w:rsidR="001B2B79" w:rsidRPr="1D8F48DA">
        <w:rPr>
          <w:rFonts w:ascii="Calibri" w:eastAsia="Calibri" w:hAnsi="Calibri" w:cs="Calibri"/>
        </w:rPr>
        <w:t xml:space="preserve">enforcement </w:t>
      </w:r>
      <w:r w:rsidR="12C7532D" w:rsidRPr="1D8F48DA">
        <w:rPr>
          <w:rFonts w:ascii="Calibri" w:eastAsia="Calibri" w:hAnsi="Calibri" w:cs="Calibri"/>
        </w:rPr>
        <w:t>powers</w:t>
      </w:r>
      <w:r w:rsidR="00627A08">
        <w:rPr>
          <w:rFonts w:ascii="Calibri" w:eastAsia="Calibri" w:hAnsi="Calibri" w:cs="Calibri"/>
        </w:rPr>
        <w:t>,</w:t>
      </w:r>
      <w:r w:rsidR="12C7532D" w:rsidRPr="1D8F48DA">
        <w:rPr>
          <w:rFonts w:ascii="Calibri" w:eastAsia="Calibri" w:hAnsi="Calibri" w:cs="Calibri"/>
        </w:rPr>
        <w:t xml:space="preserve"> </w:t>
      </w:r>
      <w:r w:rsidR="4DC4B8FB" w:rsidRPr="1D8F48DA">
        <w:rPr>
          <w:rFonts w:ascii="Calibri" w:eastAsia="Calibri" w:hAnsi="Calibri" w:cs="Calibri"/>
        </w:rPr>
        <w:t xml:space="preserve">equivalent to </w:t>
      </w:r>
      <w:r w:rsidR="793CD327" w:rsidRPr="1D8F48DA">
        <w:rPr>
          <w:rFonts w:ascii="Calibri" w:eastAsia="Calibri" w:hAnsi="Calibri" w:cs="Calibri"/>
        </w:rPr>
        <w:t>regulators</w:t>
      </w:r>
      <w:r w:rsidR="4DC4B8FB" w:rsidRPr="1D8F48DA">
        <w:rPr>
          <w:rFonts w:ascii="Calibri" w:eastAsia="Calibri" w:hAnsi="Calibri" w:cs="Calibri"/>
        </w:rPr>
        <w:t xml:space="preserve"> in other </w:t>
      </w:r>
      <w:r w:rsidR="49F24E09" w:rsidRPr="1D8F48DA">
        <w:rPr>
          <w:rFonts w:ascii="Calibri" w:eastAsia="Calibri" w:hAnsi="Calibri" w:cs="Calibri"/>
        </w:rPr>
        <w:t>jurisdictions</w:t>
      </w:r>
      <w:r w:rsidR="709CE7E4" w:rsidRPr="1D8F48DA">
        <w:rPr>
          <w:rFonts w:ascii="Calibri" w:eastAsia="Calibri" w:hAnsi="Calibri" w:cs="Calibri"/>
        </w:rPr>
        <w:t>, should be available to the ICRC</w:t>
      </w:r>
      <w:r w:rsidR="00433C54">
        <w:rPr>
          <w:rStyle w:val="CommentReference"/>
        </w:rPr>
        <w:t>.</w:t>
      </w:r>
    </w:p>
    <w:p w14:paraId="0A81D423" w14:textId="77777777" w:rsidR="0029239E" w:rsidRDefault="0029239E" w:rsidP="0029239E">
      <w:pPr>
        <w:pStyle w:val="Heading2"/>
        <w:rPr>
          <w:i w:val="0"/>
          <w:iCs w:val="0"/>
        </w:rPr>
      </w:pPr>
      <w:bookmarkStart w:id="27" w:name="_Toc146284763"/>
      <w:r>
        <w:rPr>
          <w:i w:val="0"/>
          <w:iCs w:val="0"/>
        </w:rPr>
        <w:t>Regulating utilities and energy retailers</w:t>
      </w:r>
      <w:bookmarkEnd w:id="27"/>
    </w:p>
    <w:p w14:paraId="31B3EFBF" w14:textId="77777777" w:rsidR="0029239E" w:rsidRPr="0029239E" w:rsidRDefault="001B2B79" w:rsidP="0029239E">
      <w:pPr>
        <w:pStyle w:val="Heading2"/>
        <w:rPr>
          <w:b w:val="0"/>
          <w:bCs w:val="0"/>
          <w:i w:val="0"/>
          <w:iCs w:val="0"/>
          <w:u w:val="single"/>
        </w:rPr>
      </w:pPr>
      <w:bookmarkStart w:id="28" w:name="_Toc146284764"/>
      <w:r>
        <w:rPr>
          <w:b w:val="0"/>
          <w:bCs w:val="0"/>
          <w:u w:val="single"/>
        </w:rPr>
        <w:t>Who is regulated under the Utilities Act?</w:t>
      </w:r>
      <w:bookmarkEnd w:id="28"/>
      <w:r>
        <w:rPr>
          <w:b w:val="0"/>
          <w:bCs w:val="0"/>
          <w:u w:val="single"/>
        </w:rPr>
        <w:t xml:space="preserve"> </w:t>
      </w:r>
    </w:p>
    <w:p w14:paraId="5F015298" w14:textId="77C347B5" w:rsidR="001B2B79" w:rsidRDefault="001B2B79" w:rsidP="008C7921">
      <w:pPr>
        <w:rPr>
          <w:rFonts w:ascii="Calibri" w:eastAsia="Calibri" w:hAnsi="Calibri" w:cs="Calibri"/>
          <w:lang w:eastAsia="en-US"/>
        </w:rPr>
      </w:pPr>
      <w:r>
        <w:rPr>
          <w:rFonts w:ascii="Calibri" w:eastAsia="Calibri" w:hAnsi="Calibri" w:cs="Calibri"/>
          <w:lang w:eastAsia="en-US"/>
        </w:rPr>
        <w:t xml:space="preserve">Electricity, gas, water and sewerage utilities and </w:t>
      </w:r>
      <w:r w:rsidR="004436AC">
        <w:rPr>
          <w:rFonts w:ascii="Calibri" w:eastAsia="Calibri" w:hAnsi="Calibri" w:cs="Calibri"/>
          <w:lang w:eastAsia="en-US"/>
        </w:rPr>
        <w:t>energy</w:t>
      </w:r>
      <w:r>
        <w:rPr>
          <w:rFonts w:ascii="Calibri" w:eastAsia="Calibri" w:hAnsi="Calibri" w:cs="Calibri"/>
          <w:lang w:eastAsia="en-US"/>
        </w:rPr>
        <w:t xml:space="preserve"> retailers </w:t>
      </w:r>
      <w:r w:rsidR="00570484">
        <w:rPr>
          <w:rFonts w:ascii="Calibri" w:eastAsia="Calibri" w:hAnsi="Calibri" w:cs="Calibri"/>
          <w:lang w:eastAsia="en-US"/>
        </w:rPr>
        <w:t xml:space="preserve">are required </w:t>
      </w:r>
      <w:r>
        <w:rPr>
          <w:rFonts w:ascii="Calibri" w:eastAsia="Calibri" w:hAnsi="Calibri" w:cs="Calibri"/>
          <w:lang w:eastAsia="en-US"/>
        </w:rPr>
        <w:t xml:space="preserve">to comply with industry codes made under the Utilities Act. </w:t>
      </w:r>
    </w:p>
    <w:p w14:paraId="50CA73C0" w14:textId="77777777" w:rsidR="001B2B79" w:rsidRDefault="001B2B79" w:rsidP="008C7921">
      <w:pPr>
        <w:rPr>
          <w:rFonts w:ascii="Calibri" w:eastAsia="Calibri" w:hAnsi="Calibri" w:cs="Calibri"/>
          <w:lang w:eastAsia="en-US"/>
        </w:rPr>
      </w:pPr>
    </w:p>
    <w:p w14:paraId="2057E94B" w14:textId="77777777" w:rsidR="00627A08" w:rsidRDefault="00424A5A" w:rsidP="008C7921">
      <w:pPr>
        <w:rPr>
          <w:rFonts w:ascii="Calibri" w:eastAsia="Calibri" w:hAnsi="Calibri" w:cs="Calibri"/>
          <w:lang w:eastAsia="en-US"/>
        </w:rPr>
      </w:pPr>
      <w:r>
        <w:rPr>
          <w:rFonts w:ascii="Calibri" w:eastAsia="Calibri" w:hAnsi="Calibri" w:cs="Calibri"/>
          <w:lang w:eastAsia="en-US"/>
        </w:rPr>
        <w:t>This includes utilities such as</w:t>
      </w:r>
      <w:r w:rsidR="00627A08">
        <w:rPr>
          <w:rFonts w:ascii="Calibri" w:eastAsia="Calibri" w:hAnsi="Calibri" w:cs="Calibri"/>
          <w:lang w:eastAsia="en-US"/>
        </w:rPr>
        <w:t>:</w:t>
      </w:r>
      <w:r>
        <w:rPr>
          <w:rFonts w:ascii="Calibri" w:eastAsia="Calibri" w:hAnsi="Calibri" w:cs="Calibri"/>
          <w:lang w:eastAsia="en-US"/>
        </w:rPr>
        <w:t xml:space="preserve"> </w:t>
      </w:r>
    </w:p>
    <w:p w14:paraId="6DCA7478" w14:textId="07DACED9" w:rsidR="00627A08" w:rsidRDefault="00424A5A" w:rsidP="00627A08">
      <w:pPr>
        <w:pStyle w:val="ListParagraph"/>
        <w:numPr>
          <w:ilvl w:val="0"/>
          <w:numId w:val="24"/>
        </w:numPr>
        <w:rPr>
          <w:rFonts w:ascii="Calibri" w:eastAsia="Calibri" w:hAnsi="Calibri" w:cs="Calibri"/>
          <w:lang w:eastAsia="en-US"/>
        </w:rPr>
      </w:pPr>
      <w:r w:rsidRPr="00627A08">
        <w:rPr>
          <w:rFonts w:ascii="Calibri" w:eastAsia="Calibri" w:hAnsi="Calibri" w:cs="Calibri"/>
          <w:lang w:eastAsia="en-US"/>
        </w:rPr>
        <w:t xml:space="preserve">Evoenergy, who provide the wholesale electricity and gas network which retailers use to supply consumers, </w:t>
      </w:r>
    </w:p>
    <w:p w14:paraId="7103D136" w14:textId="77777777" w:rsidR="00627A08" w:rsidRDefault="00424A5A" w:rsidP="00627A08">
      <w:pPr>
        <w:pStyle w:val="ListParagraph"/>
        <w:numPr>
          <w:ilvl w:val="0"/>
          <w:numId w:val="24"/>
        </w:numPr>
        <w:rPr>
          <w:rFonts w:ascii="Calibri" w:eastAsia="Calibri" w:hAnsi="Calibri" w:cs="Calibri"/>
          <w:lang w:eastAsia="en-US"/>
        </w:rPr>
      </w:pPr>
      <w:r w:rsidRPr="00627A08">
        <w:rPr>
          <w:rFonts w:ascii="Calibri" w:eastAsia="Calibri" w:hAnsi="Calibri" w:cs="Calibri"/>
          <w:lang w:eastAsia="en-US"/>
        </w:rPr>
        <w:t xml:space="preserve">Icon Water, who provide the network infrastructure and retail of water and sewerage services, </w:t>
      </w:r>
      <w:r w:rsidR="00627A08">
        <w:rPr>
          <w:rFonts w:ascii="Calibri" w:eastAsia="Calibri" w:hAnsi="Calibri" w:cs="Calibri"/>
          <w:lang w:eastAsia="en-US"/>
        </w:rPr>
        <w:t>and</w:t>
      </w:r>
    </w:p>
    <w:p w14:paraId="01C76120" w14:textId="3A7DF1CA" w:rsidR="00424A5A" w:rsidRPr="00627A08" w:rsidRDefault="00424A5A" w:rsidP="00627A08">
      <w:pPr>
        <w:pStyle w:val="ListParagraph"/>
        <w:numPr>
          <w:ilvl w:val="0"/>
          <w:numId w:val="24"/>
        </w:numPr>
        <w:rPr>
          <w:rFonts w:ascii="Calibri" w:eastAsia="Calibri" w:hAnsi="Calibri" w:cs="Calibri"/>
          <w:lang w:eastAsia="en-US"/>
        </w:rPr>
      </w:pPr>
      <w:r w:rsidRPr="00627A08">
        <w:rPr>
          <w:rFonts w:ascii="Calibri" w:eastAsia="Calibri" w:hAnsi="Calibri" w:cs="Calibri"/>
          <w:lang w:eastAsia="en-US"/>
        </w:rPr>
        <w:t>gas and electricity retailers.</w:t>
      </w:r>
    </w:p>
    <w:p w14:paraId="58E5A9F8" w14:textId="5FAE6864" w:rsidR="0029239E" w:rsidRDefault="00424A5A" w:rsidP="0029239E">
      <w:pPr>
        <w:pStyle w:val="Heading2"/>
        <w:rPr>
          <w:b w:val="0"/>
          <w:bCs w:val="0"/>
          <w:i w:val="0"/>
          <w:iCs w:val="0"/>
          <w:u w:val="single"/>
        </w:rPr>
      </w:pPr>
      <w:bookmarkStart w:id="29" w:name="_Toc146284765"/>
      <w:r>
        <w:rPr>
          <w:b w:val="0"/>
          <w:bCs w:val="0"/>
          <w:u w:val="single"/>
        </w:rPr>
        <w:t>What are the current obligations</w:t>
      </w:r>
      <w:r w:rsidR="00627A08">
        <w:rPr>
          <w:b w:val="0"/>
          <w:bCs w:val="0"/>
          <w:u w:val="single"/>
        </w:rPr>
        <w:t xml:space="preserve"> </w:t>
      </w:r>
      <w:r w:rsidR="00504EC5">
        <w:rPr>
          <w:b w:val="0"/>
          <w:bCs w:val="0"/>
          <w:u w:val="single"/>
        </w:rPr>
        <w:t xml:space="preserve">of energy and water </w:t>
      </w:r>
      <w:r w:rsidR="00627A08">
        <w:rPr>
          <w:b w:val="0"/>
          <w:bCs w:val="0"/>
          <w:u w:val="single"/>
        </w:rPr>
        <w:t>utilities</w:t>
      </w:r>
      <w:r>
        <w:rPr>
          <w:b w:val="0"/>
          <w:bCs w:val="0"/>
          <w:u w:val="single"/>
        </w:rPr>
        <w:t>?</w:t>
      </w:r>
      <w:bookmarkEnd w:id="29"/>
      <w:r>
        <w:rPr>
          <w:b w:val="0"/>
          <w:bCs w:val="0"/>
          <w:u w:val="single"/>
        </w:rPr>
        <w:t xml:space="preserve"> </w:t>
      </w:r>
    </w:p>
    <w:p w14:paraId="509913F9" w14:textId="77777777" w:rsidR="0079693E" w:rsidRDefault="0029239E" w:rsidP="0029239E">
      <w:pPr>
        <w:suppressAutoHyphens/>
        <w:spacing w:before="180" w:after="80" w:line="260" w:lineRule="atLeast"/>
        <w:rPr>
          <w:rFonts w:ascii="Calibri" w:eastAsia="Calibri" w:hAnsi="Calibri" w:cs="Calibri"/>
          <w:lang w:eastAsia="en-US"/>
        </w:rPr>
      </w:pPr>
      <w:r w:rsidRPr="1D8F48DA">
        <w:rPr>
          <w:rFonts w:ascii="Calibri" w:eastAsia="Calibri" w:hAnsi="Calibri" w:cs="Calibri"/>
          <w:lang w:eastAsia="en-US"/>
        </w:rPr>
        <w:t xml:space="preserve">The Consumer Protection Code </w:t>
      </w:r>
      <w:r w:rsidR="006508A0" w:rsidRPr="1D8F48DA">
        <w:rPr>
          <w:rFonts w:ascii="Calibri" w:eastAsia="Calibri" w:hAnsi="Calibri" w:cs="Calibri"/>
          <w:lang w:eastAsia="en-US"/>
        </w:rPr>
        <w:t>applies</w:t>
      </w:r>
      <w:r w:rsidRPr="1D8F48DA">
        <w:rPr>
          <w:rFonts w:ascii="Calibri" w:eastAsia="Calibri" w:hAnsi="Calibri" w:cs="Calibri"/>
          <w:lang w:eastAsia="en-US"/>
        </w:rPr>
        <w:t xml:space="preserve"> to energy and water utilities in the ACT. It outlines the basic rights of customers, </w:t>
      </w:r>
      <w:proofErr w:type="gramStart"/>
      <w:r w:rsidRPr="1D8F48DA">
        <w:rPr>
          <w:rFonts w:ascii="Calibri" w:eastAsia="Calibri" w:hAnsi="Calibri" w:cs="Calibri"/>
          <w:lang w:eastAsia="en-US"/>
        </w:rPr>
        <w:t>consumers</w:t>
      </w:r>
      <w:proofErr w:type="gramEnd"/>
      <w:r w:rsidRPr="1D8F48DA">
        <w:rPr>
          <w:rFonts w:ascii="Calibri" w:eastAsia="Calibri" w:hAnsi="Calibri" w:cs="Calibri"/>
          <w:lang w:eastAsia="en-US"/>
        </w:rPr>
        <w:t xml:space="preserve"> and utilities with respect to access to, and provision of, utility services. The Code also requires utilities and </w:t>
      </w:r>
      <w:r w:rsidR="004436AC" w:rsidRPr="1D8F48DA">
        <w:rPr>
          <w:rFonts w:ascii="Calibri" w:eastAsia="Calibri" w:hAnsi="Calibri" w:cs="Calibri"/>
          <w:lang w:eastAsia="en-US"/>
        </w:rPr>
        <w:t xml:space="preserve">energy </w:t>
      </w:r>
      <w:r w:rsidRPr="1D8F48DA">
        <w:rPr>
          <w:rFonts w:ascii="Calibri" w:eastAsia="Calibri" w:hAnsi="Calibri" w:cs="Calibri"/>
          <w:lang w:eastAsia="en-US"/>
        </w:rPr>
        <w:t xml:space="preserve">retailers to meet </w:t>
      </w:r>
      <w:r w:rsidR="00983A67" w:rsidRPr="1D8F48DA">
        <w:rPr>
          <w:rFonts w:ascii="Calibri" w:eastAsia="Calibri" w:hAnsi="Calibri" w:cs="Calibri"/>
          <w:lang w:eastAsia="en-US"/>
        </w:rPr>
        <w:t>guaranteed service level</w:t>
      </w:r>
      <w:r w:rsidRPr="1D8F48DA">
        <w:rPr>
          <w:rFonts w:ascii="Calibri" w:eastAsia="Calibri" w:hAnsi="Calibri" w:cs="Calibri"/>
          <w:lang w:eastAsia="en-US"/>
        </w:rPr>
        <w:t xml:space="preserve"> </w:t>
      </w:r>
      <w:r w:rsidR="00A5144D" w:rsidRPr="1D8F48DA">
        <w:rPr>
          <w:rFonts w:ascii="Calibri" w:eastAsia="Calibri" w:hAnsi="Calibri" w:cs="Calibri"/>
          <w:lang w:eastAsia="en-US"/>
        </w:rPr>
        <w:t xml:space="preserve">requirements </w:t>
      </w:r>
      <w:r w:rsidRPr="1D8F48DA">
        <w:rPr>
          <w:rFonts w:ascii="Calibri" w:eastAsia="Calibri" w:hAnsi="Calibri" w:cs="Calibri"/>
          <w:lang w:eastAsia="en-US"/>
        </w:rPr>
        <w:t xml:space="preserve">to ACT customers. </w:t>
      </w:r>
    </w:p>
    <w:p w14:paraId="7DB6626A" w14:textId="39D2371D" w:rsidR="0029239E" w:rsidRPr="0029239E" w:rsidRDefault="58BA0B70" w:rsidP="0029239E">
      <w:pPr>
        <w:suppressAutoHyphens/>
        <w:spacing w:before="180" w:after="80" w:line="260" w:lineRule="atLeast"/>
        <w:rPr>
          <w:rFonts w:ascii="Calibri" w:eastAsia="Calibri" w:hAnsi="Calibri" w:cs="Calibri"/>
          <w:lang w:eastAsia="en-US"/>
        </w:rPr>
      </w:pPr>
      <w:r w:rsidRPr="1D8F48DA">
        <w:rPr>
          <w:rFonts w:ascii="Calibri" w:eastAsia="Calibri" w:hAnsi="Calibri" w:cs="Calibri"/>
          <w:lang w:eastAsia="en-US"/>
        </w:rPr>
        <w:t>These standards</w:t>
      </w:r>
      <w:r w:rsidR="6A5375B4" w:rsidRPr="1D8F48DA">
        <w:rPr>
          <w:rFonts w:ascii="Calibri" w:eastAsia="Calibri" w:hAnsi="Calibri" w:cs="Calibri"/>
          <w:lang w:eastAsia="en-US"/>
        </w:rPr>
        <w:t xml:space="preserve"> give utilities strong</w:t>
      </w:r>
      <w:r w:rsidR="44961307" w:rsidRPr="1D8F48DA">
        <w:rPr>
          <w:rFonts w:ascii="Calibri" w:eastAsia="Calibri" w:hAnsi="Calibri" w:cs="Calibri"/>
          <w:lang w:eastAsia="en-US"/>
        </w:rPr>
        <w:t xml:space="preserve"> </w:t>
      </w:r>
      <w:r w:rsidR="5F8C05CA" w:rsidRPr="1D8F48DA">
        <w:rPr>
          <w:rFonts w:ascii="Calibri" w:eastAsia="Calibri" w:hAnsi="Calibri" w:cs="Calibri"/>
          <w:lang w:eastAsia="en-US"/>
        </w:rPr>
        <w:t>incenti</w:t>
      </w:r>
      <w:r w:rsidR="4583E1AD" w:rsidRPr="1D8F48DA">
        <w:rPr>
          <w:rFonts w:ascii="Calibri" w:eastAsia="Calibri" w:hAnsi="Calibri" w:cs="Calibri"/>
          <w:lang w:eastAsia="en-US"/>
        </w:rPr>
        <w:t>ves</w:t>
      </w:r>
      <w:r w:rsidR="5F8C05CA" w:rsidRPr="1D8F48DA">
        <w:rPr>
          <w:rFonts w:ascii="Calibri" w:eastAsia="Calibri" w:hAnsi="Calibri" w:cs="Calibri"/>
          <w:lang w:eastAsia="en-US"/>
        </w:rPr>
        <w:t xml:space="preserve"> to improve and uphold </w:t>
      </w:r>
      <w:r w:rsidR="49B764BE" w:rsidRPr="1D8F48DA">
        <w:rPr>
          <w:rFonts w:ascii="Calibri" w:eastAsia="Calibri" w:hAnsi="Calibri" w:cs="Calibri"/>
          <w:lang w:eastAsia="en-US"/>
        </w:rPr>
        <w:t>their</w:t>
      </w:r>
      <w:r w:rsidR="526D57AB" w:rsidRPr="1D8F48DA">
        <w:rPr>
          <w:rFonts w:ascii="Calibri" w:eastAsia="Calibri" w:hAnsi="Calibri" w:cs="Calibri"/>
          <w:lang w:eastAsia="en-US"/>
        </w:rPr>
        <w:t xml:space="preserve"> performance </w:t>
      </w:r>
      <w:r w:rsidR="49B764BE" w:rsidRPr="1D8F48DA">
        <w:rPr>
          <w:rFonts w:ascii="Calibri" w:eastAsia="Calibri" w:hAnsi="Calibri" w:cs="Calibri"/>
          <w:lang w:eastAsia="en-US"/>
        </w:rPr>
        <w:t>and ensure</w:t>
      </w:r>
      <w:r w:rsidR="526D57AB" w:rsidRPr="1D8F48DA">
        <w:rPr>
          <w:rFonts w:ascii="Calibri" w:eastAsia="Calibri" w:hAnsi="Calibri" w:cs="Calibri"/>
          <w:lang w:eastAsia="en-US"/>
        </w:rPr>
        <w:t xml:space="preserve"> consumers are </w:t>
      </w:r>
      <w:r w:rsidR="77799074" w:rsidRPr="1D8F48DA">
        <w:rPr>
          <w:rFonts w:ascii="Calibri" w:eastAsia="Calibri" w:hAnsi="Calibri" w:cs="Calibri"/>
          <w:lang w:eastAsia="en-US"/>
        </w:rPr>
        <w:t xml:space="preserve">not </w:t>
      </w:r>
      <w:r w:rsidR="7F7758F9" w:rsidRPr="1D8F48DA">
        <w:rPr>
          <w:rFonts w:ascii="Calibri" w:eastAsia="Calibri" w:hAnsi="Calibri" w:cs="Calibri"/>
          <w:lang w:eastAsia="en-US"/>
        </w:rPr>
        <w:t xml:space="preserve">made </w:t>
      </w:r>
      <w:r w:rsidR="77799074" w:rsidRPr="1D8F48DA">
        <w:rPr>
          <w:rFonts w:ascii="Calibri" w:eastAsia="Calibri" w:hAnsi="Calibri" w:cs="Calibri"/>
          <w:lang w:eastAsia="en-US"/>
        </w:rPr>
        <w:t xml:space="preserve">worse off when </w:t>
      </w:r>
      <w:r w:rsidR="5E9ECE9C" w:rsidRPr="1D8F48DA">
        <w:rPr>
          <w:rFonts w:ascii="Calibri" w:eastAsia="Calibri" w:hAnsi="Calibri" w:cs="Calibri"/>
          <w:lang w:eastAsia="en-US"/>
        </w:rPr>
        <w:t>they are affected</w:t>
      </w:r>
      <w:r w:rsidR="77799074" w:rsidRPr="1D8F48DA">
        <w:rPr>
          <w:rFonts w:ascii="Calibri" w:eastAsia="Calibri" w:hAnsi="Calibri" w:cs="Calibri"/>
          <w:lang w:eastAsia="en-US"/>
        </w:rPr>
        <w:t xml:space="preserve"> </w:t>
      </w:r>
      <w:r w:rsidR="5E9ECE9C" w:rsidRPr="1D8F48DA">
        <w:rPr>
          <w:rFonts w:ascii="Calibri" w:eastAsia="Calibri" w:hAnsi="Calibri" w:cs="Calibri"/>
          <w:lang w:eastAsia="en-US"/>
        </w:rPr>
        <w:t>by</w:t>
      </w:r>
      <w:r w:rsidR="77799074" w:rsidRPr="1D8F48DA">
        <w:rPr>
          <w:rFonts w:ascii="Calibri" w:eastAsia="Calibri" w:hAnsi="Calibri" w:cs="Calibri"/>
          <w:lang w:eastAsia="en-US"/>
        </w:rPr>
        <w:t xml:space="preserve"> poor utility services.</w:t>
      </w:r>
      <w:r w:rsidR="00B65F4A" w:rsidRPr="1D8F48DA">
        <w:rPr>
          <w:rFonts w:ascii="Calibri" w:eastAsia="Calibri" w:hAnsi="Calibri" w:cs="Calibri"/>
          <w:lang w:eastAsia="en-US"/>
        </w:rPr>
        <w:t xml:space="preserve"> </w:t>
      </w:r>
      <w:r w:rsidR="0029239E" w:rsidRPr="1D8F48DA">
        <w:rPr>
          <w:rFonts w:ascii="Calibri" w:eastAsia="Calibri" w:hAnsi="Calibri" w:cs="Calibri"/>
          <w:lang w:eastAsia="en-US"/>
        </w:rPr>
        <w:t xml:space="preserve">If a regulated entity does not meet these standards, the entity must then pay a rebate to the customer in recognition that the service they receive was below the required standard. </w:t>
      </w:r>
    </w:p>
    <w:p w14:paraId="4BB476AF" w14:textId="7279459A" w:rsidR="00D44670" w:rsidRDefault="0029239E" w:rsidP="00D44670">
      <w:pPr>
        <w:suppressAutoHyphens/>
        <w:spacing w:before="180" w:after="80" w:line="260" w:lineRule="atLeast"/>
        <w:rPr>
          <w:rFonts w:ascii="Calibri" w:eastAsia="Calibri" w:hAnsi="Calibri" w:cs="Calibri"/>
          <w:lang w:eastAsia="en-US"/>
        </w:rPr>
      </w:pPr>
      <w:r w:rsidRPr="1D8F48DA">
        <w:rPr>
          <w:rFonts w:ascii="Calibri" w:eastAsia="Calibri" w:hAnsi="Calibri" w:cs="Calibri"/>
          <w:lang w:eastAsia="en-US"/>
        </w:rPr>
        <w:lastRenderedPageBreak/>
        <w:t xml:space="preserve">The Transparency and Comparability Code requires </w:t>
      </w:r>
      <w:r w:rsidR="08435CE3" w:rsidRPr="1D8F48DA">
        <w:rPr>
          <w:rFonts w:ascii="Calibri" w:eastAsia="Calibri" w:hAnsi="Calibri" w:cs="Calibri"/>
          <w:lang w:eastAsia="en-US"/>
        </w:rPr>
        <w:t xml:space="preserve">electricity </w:t>
      </w:r>
      <w:r w:rsidRPr="1D8F48DA">
        <w:rPr>
          <w:rFonts w:ascii="Calibri" w:eastAsia="Calibri" w:hAnsi="Calibri" w:cs="Calibri"/>
          <w:lang w:eastAsia="en-US"/>
        </w:rPr>
        <w:t xml:space="preserve">retailers to advertise </w:t>
      </w:r>
      <w:r w:rsidR="75497990" w:rsidRPr="1D8F48DA">
        <w:rPr>
          <w:rFonts w:ascii="Calibri" w:eastAsia="Calibri" w:hAnsi="Calibri" w:cs="Calibri"/>
          <w:lang w:eastAsia="en-US"/>
        </w:rPr>
        <w:t xml:space="preserve">their </w:t>
      </w:r>
      <w:r w:rsidRPr="1D8F48DA">
        <w:rPr>
          <w:rFonts w:ascii="Calibri" w:eastAsia="Calibri" w:hAnsi="Calibri" w:cs="Calibri"/>
          <w:lang w:eastAsia="en-US"/>
        </w:rPr>
        <w:t xml:space="preserve">energy plans against a reference price and to provide a consumer with clear advice about the best plan for them. </w:t>
      </w:r>
      <w:r w:rsidR="6972CBF2" w:rsidRPr="1D8F48DA">
        <w:rPr>
          <w:rFonts w:ascii="Calibri" w:eastAsia="Calibri" w:hAnsi="Calibri" w:cs="Calibri"/>
          <w:lang w:eastAsia="en-US"/>
        </w:rPr>
        <w:t>These obligation</w:t>
      </w:r>
      <w:r w:rsidR="5787C3EC" w:rsidRPr="1D8F48DA">
        <w:rPr>
          <w:rFonts w:ascii="Calibri" w:eastAsia="Calibri" w:hAnsi="Calibri" w:cs="Calibri"/>
          <w:lang w:eastAsia="en-US"/>
        </w:rPr>
        <w:t>s</w:t>
      </w:r>
      <w:r w:rsidR="5F8CC8A8" w:rsidRPr="1D8F48DA">
        <w:rPr>
          <w:rFonts w:ascii="Calibri" w:eastAsia="Calibri" w:hAnsi="Calibri" w:cs="Calibri"/>
          <w:lang w:eastAsia="en-US"/>
        </w:rPr>
        <w:t xml:space="preserve"> </w:t>
      </w:r>
      <w:r w:rsidR="7DE1BD58" w:rsidRPr="1D8F48DA">
        <w:rPr>
          <w:rFonts w:ascii="Calibri" w:eastAsia="Calibri" w:hAnsi="Calibri" w:cs="Calibri"/>
          <w:lang w:eastAsia="en-US"/>
        </w:rPr>
        <w:t xml:space="preserve">help consumers to save money on their utility bills and </w:t>
      </w:r>
      <w:r w:rsidR="51B06A7D" w:rsidRPr="1D8F48DA">
        <w:rPr>
          <w:rFonts w:ascii="Calibri" w:eastAsia="Calibri" w:hAnsi="Calibri" w:cs="Calibri"/>
          <w:lang w:eastAsia="en-US"/>
        </w:rPr>
        <w:t>facilitate greater competition in the market</w:t>
      </w:r>
      <w:r w:rsidR="05913E18" w:rsidRPr="1D8F48DA">
        <w:rPr>
          <w:rFonts w:ascii="Calibri" w:eastAsia="Calibri" w:hAnsi="Calibri" w:cs="Calibri"/>
          <w:lang w:eastAsia="en-US"/>
        </w:rPr>
        <w:t>.</w:t>
      </w:r>
    </w:p>
    <w:p w14:paraId="1D3C7ACE" w14:textId="4CCE2A2D" w:rsidR="0029239E" w:rsidRPr="0029239E" w:rsidRDefault="009D1A44" w:rsidP="0029239E">
      <w:pPr>
        <w:rPr>
          <w:rFonts w:ascii="Calibri" w:eastAsia="Calibri" w:hAnsi="Calibri" w:cs="Calibri"/>
          <w:lang w:eastAsia="en-US"/>
        </w:rPr>
      </w:pPr>
      <w:r>
        <w:rPr>
          <w:rFonts w:ascii="Calibri" w:eastAsia="Calibri" w:hAnsi="Calibri" w:cs="Calibri"/>
          <w:lang w:eastAsia="en-US"/>
        </w:rPr>
        <w:t>Utilities</w:t>
      </w:r>
      <w:r w:rsidR="006079B6" w:rsidRPr="1D8F48DA">
        <w:rPr>
          <w:rFonts w:ascii="Calibri" w:eastAsia="Calibri" w:hAnsi="Calibri" w:cs="Calibri"/>
          <w:lang w:eastAsia="en-US"/>
        </w:rPr>
        <w:t xml:space="preserve"> must </w:t>
      </w:r>
      <w:r>
        <w:rPr>
          <w:rFonts w:ascii="Calibri" w:eastAsia="Calibri" w:hAnsi="Calibri" w:cs="Calibri"/>
          <w:lang w:eastAsia="en-US"/>
        </w:rPr>
        <w:t xml:space="preserve">also </w:t>
      </w:r>
      <w:r w:rsidR="006079B6" w:rsidRPr="1D8F48DA">
        <w:rPr>
          <w:rFonts w:ascii="Calibri" w:eastAsia="Calibri" w:hAnsi="Calibri" w:cs="Calibri"/>
          <w:lang w:eastAsia="en-US"/>
        </w:rPr>
        <w:t>meet the conditions of their licence, such as to ensure the water pressure in the system allows firefighters to have the water pressure necessary to address fires and similarly for gas, sufficient pressure maintained to allow the function of the network.</w:t>
      </w:r>
      <w:r w:rsidR="15F14F85" w:rsidRPr="1D8F48DA">
        <w:rPr>
          <w:rFonts w:ascii="Calibri" w:eastAsia="Calibri" w:hAnsi="Calibri" w:cs="Calibri"/>
          <w:lang w:eastAsia="en-US"/>
        </w:rPr>
        <w:t xml:space="preserve"> </w:t>
      </w:r>
    </w:p>
    <w:p w14:paraId="1476C819" w14:textId="5DF63942" w:rsidR="00424A5A" w:rsidRDefault="00424A5A" w:rsidP="00E659D6">
      <w:pPr>
        <w:pStyle w:val="Heading2"/>
        <w:rPr>
          <w:rFonts w:eastAsia="Calibri"/>
          <w:lang w:eastAsia="en-US"/>
        </w:rPr>
      </w:pPr>
      <w:bookmarkStart w:id="30" w:name="_Toc146284766"/>
      <w:r w:rsidRPr="00E659D6">
        <w:rPr>
          <w:b w:val="0"/>
          <w:bCs w:val="0"/>
          <w:u w:val="single"/>
        </w:rPr>
        <w:t xml:space="preserve">What happens when </w:t>
      </w:r>
      <w:r w:rsidR="00746D22" w:rsidRPr="00E659D6">
        <w:rPr>
          <w:b w:val="0"/>
          <w:bCs w:val="0"/>
          <w:u w:val="single"/>
        </w:rPr>
        <w:t>obligations are not met?</w:t>
      </w:r>
      <w:bookmarkEnd w:id="30"/>
      <w:r w:rsidRPr="00E659D6">
        <w:rPr>
          <w:b w:val="0"/>
          <w:bCs w:val="0"/>
          <w:u w:val="single"/>
        </w:rPr>
        <w:t xml:space="preserve"> </w:t>
      </w:r>
    </w:p>
    <w:p w14:paraId="5B23BAEE" w14:textId="793494A9" w:rsidR="00424A5A" w:rsidRPr="005B6619" w:rsidRDefault="00BF6ED9" w:rsidP="00E659D6">
      <w:pPr>
        <w:spacing w:before="240"/>
        <w:rPr>
          <w:rFonts w:ascii="Calibri" w:eastAsia="Calibri" w:hAnsi="Calibri" w:cs="Calibri"/>
          <w:b/>
          <w:bCs/>
          <w:lang w:eastAsia="en-US"/>
        </w:rPr>
      </w:pPr>
      <w:r w:rsidRPr="00BF6ED9">
        <w:rPr>
          <w:rFonts w:ascii="Calibri" w:hAnsi="Calibri"/>
          <w:b/>
          <w:bCs/>
        </w:rPr>
        <w:t>Self-reporting</w:t>
      </w:r>
    </w:p>
    <w:p w14:paraId="68D6E9CB" w14:textId="2C8FEF48" w:rsidR="00746D22" w:rsidRDefault="00CB06F8" w:rsidP="00D44298">
      <w:pPr>
        <w:suppressAutoHyphens/>
        <w:spacing w:before="180" w:after="80" w:line="260" w:lineRule="atLeast"/>
        <w:rPr>
          <w:rFonts w:ascii="Calibri" w:eastAsia="Calibri" w:hAnsi="Calibri" w:cs="Calibri"/>
          <w:lang w:eastAsia="en-US"/>
        </w:rPr>
      </w:pPr>
      <w:r w:rsidRPr="00CB06F8">
        <w:rPr>
          <w:rFonts w:ascii="Calibri" w:eastAsia="Calibri" w:hAnsi="Calibri" w:cs="Calibri"/>
          <w:lang w:eastAsia="en-US"/>
        </w:rPr>
        <w:t xml:space="preserve">Utilities and </w:t>
      </w:r>
      <w:r w:rsidR="004436AC">
        <w:rPr>
          <w:rFonts w:ascii="Calibri" w:eastAsia="Calibri" w:hAnsi="Calibri" w:cs="Calibri"/>
          <w:lang w:eastAsia="en-US"/>
        </w:rPr>
        <w:t>energy</w:t>
      </w:r>
      <w:r w:rsidR="004436AC" w:rsidRPr="00CB06F8">
        <w:rPr>
          <w:rFonts w:ascii="Calibri" w:eastAsia="Calibri" w:hAnsi="Calibri" w:cs="Calibri"/>
          <w:lang w:eastAsia="en-US"/>
        </w:rPr>
        <w:t xml:space="preserve"> </w:t>
      </w:r>
      <w:r w:rsidRPr="00CB06F8">
        <w:rPr>
          <w:rFonts w:ascii="Calibri" w:eastAsia="Calibri" w:hAnsi="Calibri" w:cs="Calibri"/>
          <w:lang w:eastAsia="en-US"/>
        </w:rPr>
        <w:t xml:space="preserve">retailers are required to self-report compliance with the codes and/or licence conditions to the </w:t>
      </w:r>
      <w:r w:rsidR="00746D22">
        <w:rPr>
          <w:rFonts w:ascii="Calibri" w:eastAsia="Calibri" w:hAnsi="Calibri" w:cs="Calibri"/>
          <w:lang w:eastAsia="en-US"/>
        </w:rPr>
        <w:t>ICRC</w:t>
      </w:r>
      <w:r w:rsidRPr="00CB06F8">
        <w:rPr>
          <w:rFonts w:ascii="Calibri" w:eastAsia="Calibri" w:hAnsi="Calibri" w:cs="Calibri"/>
          <w:lang w:eastAsia="en-US"/>
        </w:rPr>
        <w:t xml:space="preserve">. The </w:t>
      </w:r>
      <w:r w:rsidR="00746D22">
        <w:rPr>
          <w:rFonts w:ascii="Calibri" w:eastAsia="Calibri" w:hAnsi="Calibri" w:cs="Calibri"/>
          <w:lang w:eastAsia="en-US"/>
        </w:rPr>
        <w:t>ICRC</w:t>
      </w:r>
      <w:r w:rsidR="00746D22" w:rsidRPr="00CB06F8">
        <w:rPr>
          <w:rFonts w:ascii="Calibri" w:eastAsia="Calibri" w:hAnsi="Calibri" w:cs="Calibri"/>
          <w:lang w:eastAsia="en-US"/>
        </w:rPr>
        <w:t xml:space="preserve"> </w:t>
      </w:r>
      <w:r w:rsidRPr="00CB06F8">
        <w:rPr>
          <w:rFonts w:ascii="Calibri" w:eastAsia="Calibri" w:hAnsi="Calibri" w:cs="Calibri"/>
          <w:lang w:eastAsia="en-US"/>
        </w:rPr>
        <w:t xml:space="preserve">publishes a Utility Licensing Annual Report (ULAR) monitoring report and </w:t>
      </w:r>
      <w:r w:rsidR="004436AC">
        <w:rPr>
          <w:rFonts w:ascii="Calibri" w:eastAsia="Calibri" w:hAnsi="Calibri" w:cs="Calibri"/>
          <w:lang w:eastAsia="en-US"/>
        </w:rPr>
        <w:t>energy</w:t>
      </w:r>
      <w:r w:rsidR="004436AC" w:rsidRPr="00CB06F8">
        <w:rPr>
          <w:rFonts w:ascii="Calibri" w:eastAsia="Calibri" w:hAnsi="Calibri" w:cs="Calibri"/>
          <w:lang w:eastAsia="en-US"/>
        </w:rPr>
        <w:t xml:space="preserve"> </w:t>
      </w:r>
      <w:r w:rsidRPr="00CB06F8">
        <w:rPr>
          <w:rFonts w:ascii="Calibri" w:eastAsia="Calibri" w:hAnsi="Calibri" w:cs="Calibri"/>
          <w:lang w:eastAsia="en-US"/>
        </w:rPr>
        <w:t xml:space="preserve">retailer compliance report. These reports detail the compliance of utilities and </w:t>
      </w:r>
      <w:r w:rsidR="004436AC">
        <w:rPr>
          <w:rFonts w:ascii="Calibri" w:eastAsia="Calibri" w:hAnsi="Calibri" w:cs="Calibri"/>
          <w:lang w:eastAsia="en-US"/>
        </w:rPr>
        <w:t>energy</w:t>
      </w:r>
      <w:r w:rsidR="004436AC" w:rsidRPr="00CB06F8">
        <w:rPr>
          <w:rFonts w:ascii="Calibri" w:eastAsia="Calibri" w:hAnsi="Calibri" w:cs="Calibri"/>
          <w:lang w:eastAsia="en-US"/>
        </w:rPr>
        <w:t xml:space="preserve"> </w:t>
      </w:r>
      <w:r w:rsidRPr="00CB06F8">
        <w:rPr>
          <w:rFonts w:ascii="Calibri" w:eastAsia="Calibri" w:hAnsi="Calibri" w:cs="Calibri"/>
          <w:lang w:eastAsia="en-US"/>
        </w:rPr>
        <w:t xml:space="preserve">retailers against their respective obligations, payment of customer rebates, and enforcement actions taken by the </w:t>
      </w:r>
      <w:r w:rsidR="00746D22">
        <w:rPr>
          <w:rFonts w:ascii="Calibri" w:eastAsia="Calibri" w:hAnsi="Calibri" w:cs="Calibri"/>
          <w:lang w:eastAsia="en-US"/>
        </w:rPr>
        <w:t>ICRC</w:t>
      </w:r>
      <w:r w:rsidR="00746D22" w:rsidRPr="00CB06F8">
        <w:rPr>
          <w:rFonts w:ascii="Calibri" w:eastAsia="Calibri" w:hAnsi="Calibri" w:cs="Calibri"/>
          <w:lang w:eastAsia="en-US"/>
        </w:rPr>
        <w:t xml:space="preserve"> </w:t>
      </w:r>
      <w:r w:rsidRPr="00CB06F8">
        <w:rPr>
          <w:rFonts w:ascii="Calibri" w:eastAsia="Calibri" w:hAnsi="Calibri" w:cs="Calibri"/>
          <w:lang w:eastAsia="en-US"/>
        </w:rPr>
        <w:t>in response to the non-compliance.</w:t>
      </w:r>
    </w:p>
    <w:p w14:paraId="17D3F3E1" w14:textId="46612B8F" w:rsidR="00746D22" w:rsidRDefault="00746D22" w:rsidP="00D44298">
      <w:pPr>
        <w:suppressAutoHyphens/>
        <w:spacing w:before="180" w:after="80" w:line="260" w:lineRule="atLeast"/>
        <w:rPr>
          <w:rFonts w:ascii="Calibri" w:eastAsia="Calibri" w:hAnsi="Calibri" w:cs="Calibri"/>
          <w:lang w:eastAsia="en-US"/>
        </w:rPr>
      </w:pPr>
      <w:r>
        <w:rPr>
          <w:rFonts w:ascii="Calibri" w:eastAsia="Calibri" w:hAnsi="Calibri" w:cs="Calibri"/>
          <w:lang w:eastAsia="en-US"/>
        </w:rPr>
        <w:t xml:space="preserve">While </w:t>
      </w:r>
      <w:r w:rsidR="005C4C59">
        <w:rPr>
          <w:rFonts w:ascii="Calibri" w:eastAsia="Calibri" w:hAnsi="Calibri" w:cs="Calibri"/>
          <w:lang w:eastAsia="en-US"/>
        </w:rPr>
        <w:t>most</w:t>
      </w:r>
      <w:r>
        <w:rPr>
          <w:rFonts w:ascii="Calibri" w:eastAsia="Calibri" w:hAnsi="Calibri" w:cs="Calibri"/>
          <w:lang w:eastAsia="en-US"/>
        </w:rPr>
        <w:t xml:space="preserve"> consumers are </w:t>
      </w:r>
      <w:r w:rsidR="005C4C59">
        <w:rPr>
          <w:rFonts w:ascii="Calibri" w:eastAsia="Calibri" w:hAnsi="Calibri" w:cs="Calibri"/>
          <w:lang w:eastAsia="en-US"/>
        </w:rPr>
        <w:t>un</w:t>
      </w:r>
      <w:r>
        <w:rPr>
          <w:rFonts w:ascii="Calibri" w:eastAsia="Calibri" w:hAnsi="Calibri" w:cs="Calibri"/>
          <w:lang w:eastAsia="en-US"/>
        </w:rPr>
        <w:t xml:space="preserve">likely to have </w:t>
      </w:r>
      <w:r w:rsidR="005C4C59">
        <w:rPr>
          <w:rFonts w:ascii="Calibri" w:eastAsia="Calibri" w:hAnsi="Calibri" w:cs="Calibri"/>
          <w:lang w:eastAsia="en-US"/>
        </w:rPr>
        <w:t>issues</w:t>
      </w:r>
      <w:r>
        <w:rPr>
          <w:rFonts w:ascii="Calibri" w:eastAsia="Calibri" w:hAnsi="Calibri" w:cs="Calibri"/>
          <w:lang w:eastAsia="en-US"/>
        </w:rPr>
        <w:t xml:space="preserve"> with the provision of </w:t>
      </w:r>
      <w:r w:rsidR="7B2762AE" w:rsidRPr="20B6CEEA">
        <w:rPr>
          <w:rFonts w:ascii="Calibri" w:eastAsia="Calibri" w:hAnsi="Calibri" w:cs="Calibri"/>
          <w:lang w:eastAsia="en-US"/>
        </w:rPr>
        <w:t xml:space="preserve">guaranteed service </w:t>
      </w:r>
      <w:r w:rsidR="7B2762AE" w:rsidRPr="04F4880B">
        <w:rPr>
          <w:rFonts w:ascii="Calibri" w:eastAsia="Calibri" w:hAnsi="Calibri" w:cs="Calibri"/>
          <w:lang w:eastAsia="en-US"/>
        </w:rPr>
        <w:t>level</w:t>
      </w:r>
      <w:r w:rsidR="00F438CF">
        <w:rPr>
          <w:rFonts w:ascii="Calibri" w:eastAsia="Calibri" w:hAnsi="Calibri" w:cs="Calibri"/>
          <w:lang w:eastAsia="en-US"/>
        </w:rPr>
        <w:t xml:space="preserve"> </w:t>
      </w:r>
      <w:r w:rsidR="00A5144D" w:rsidRPr="20B6CEEA">
        <w:rPr>
          <w:rFonts w:ascii="Calibri" w:eastAsia="Calibri" w:hAnsi="Calibri" w:cs="Calibri"/>
          <w:lang w:eastAsia="en-US"/>
        </w:rPr>
        <w:t>requirements</w:t>
      </w:r>
      <w:r>
        <w:rPr>
          <w:rFonts w:ascii="Calibri" w:eastAsia="Calibri" w:hAnsi="Calibri" w:cs="Calibri"/>
          <w:lang w:eastAsia="en-US"/>
        </w:rPr>
        <w:t xml:space="preserve">, there have been higher than normal non-compliance with service levels in relation to electricity in recent years. </w:t>
      </w:r>
    </w:p>
    <w:p w14:paraId="393FBE21" w14:textId="4C1DF478" w:rsidR="00CB06F8" w:rsidRPr="003D0F36" w:rsidRDefault="00CB06F8" w:rsidP="00CB06F8">
      <w:pPr>
        <w:pStyle w:val="Caption"/>
        <w:rPr>
          <w:sz w:val="24"/>
          <w:szCs w:val="24"/>
        </w:rPr>
      </w:pPr>
      <w:r w:rsidRPr="49FA850C">
        <w:rPr>
          <w:sz w:val="24"/>
          <w:szCs w:val="24"/>
        </w:rPr>
        <w:t xml:space="preserve">Table </w:t>
      </w:r>
      <w:r w:rsidR="005B55B7" w:rsidRPr="49FA850C">
        <w:rPr>
          <w:sz w:val="24"/>
          <w:szCs w:val="24"/>
        </w:rPr>
        <w:t>3</w:t>
      </w:r>
      <w:r w:rsidRPr="49FA850C">
        <w:rPr>
          <w:sz w:val="24"/>
          <w:szCs w:val="24"/>
        </w:rPr>
        <w:t>.</w:t>
      </w:r>
      <w:r w:rsidR="005B55B7" w:rsidRPr="49FA850C">
        <w:rPr>
          <w:sz w:val="24"/>
          <w:szCs w:val="24"/>
        </w:rPr>
        <w:t xml:space="preserve">2 </w:t>
      </w:r>
      <w:r w:rsidRPr="49FA850C">
        <w:rPr>
          <w:sz w:val="24"/>
          <w:szCs w:val="24"/>
        </w:rPr>
        <w:t>Incidences of non-compliance with guaranteed service levels (Consumer Protection Code)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35"/>
        <w:gridCol w:w="1491"/>
        <w:gridCol w:w="1492"/>
        <w:gridCol w:w="1492"/>
        <w:gridCol w:w="1497"/>
        <w:gridCol w:w="1509"/>
      </w:tblGrid>
      <w:tr w:rsidR="00CB06F8" w:rsidRPr="00E06CA1" w14:paraId="3D652BB1" w14:textId="77777777" w:rsidTr="003B0BED">
        <w:tc>
          <w:tcPr>
            <w:tcW w:w="1535" w:type="dxa"/>
            <w:shd w:val="clear" w:color="auto" w:fill="002060"/>
          </w:tcPr>
          <w:p w14:paraId="5D6DC517" w14:textId="77777777" w:rsidR="00CB06F8" w:rsidRPr="008B40F7" w:rsidRDefault="00CB06F8" w:rsidP="008B40F7">
            <w:pPr>
              <w:spacing w:before="180" w:after="80" w:line="260" w:lineRule="atLeast"/>
              <w:rPr>
                <w:rFonts w:ascii="Calibri" w:hAnsi="Calibri" w:cs="Calibri"/>
                <w:color w:val="FFFFFF"/>
                <w:sz w:val="20"/>
                <w:szCs w:val="20"/>
              </w:rPr>
            </w:pPr>
          </w:p>
        </w:tc>
        <w:tc>
          <w:tcPr>
            <w:tcW w:w="1491" w:type="dxa"/>
            <w:tcBorders>
              <w:bottom w:val="single" w:sz="4" w:space="0" w:color="auto"/>
            </w:tcBorders>
            <w:shd w:val="clear" w:color="auto" w:fill="002060"/>
          </w:tcPr>
          <w:p w14:paraId="572ED9AC" w14:textId="77777777" w:rsidR="00CB06F8" w:rsidRPr="008B40F7" w:rsidRDefault="00CB06F8" w:rsidP="008B40F7">
            <w:pPr>
              <w:spacing w:before="180" w:after="80" w:line="260" w:lineRule="atLeast"/>
              <w:rPr>
                <w:rFonts w:ascii="Calibri" w:hAnsi="Calibri" w:cs="Calibri"/>
                <w:b/>
                <w:bCs/>
                <w:color w:val="FFFFFF"/>
                <w:sz w:val="20"/>
                <w:szCs w:val="20"/>
              </w:rPr>
            </w:pPr>
            <w:r w:rsidRPr="008B40F7">
              <w:rPr>
                <w:rFonts w:ascii="Calibri" w:hAnsi="Calibri" w:cs="Calibri"/>
                <w:b/>
                <w:bCs/>
                <w:color w:val="FFFFFF"/>
                <w:sz w:val="20"/>
                <w:szCs w:val="20"/>
              </w:rPr>
              <w:t>2017-18</w:t>
            </w:r>
          </w:p>
        </w:tc>
        <w:tc>
          <w:tcPr>
            <w:tcW w:w="1492" w:type="dxa"/>
            <w:tcBorders>
              <w:bottom w:val="single" w:sz="4" w:space="0" w:color="auto"/>
            </w:tcBorders>
            <w:shd w:val="clear" w:color="auto" w:fill="002060"/>
          </w:tcPr>
          <w:p w14:paraId="3B617EEA" w14:textId="77777777" w:rsidR="00CB06F8" w:rsidRPr="008B40F7" w:rsidRDefault="00CB06F8" w:rsidP="008B40F7">
            <w:pPr>
              <w:spacing w:before="180" w:after="80" w:line="260" w:lineRule="atLeast"/>
              <w:rPr>
                <w:rFonts w:ascii="Calibri" w:hAnsi="Calibri" w:cs="Calibri"/>
                <w:b/>
                <w:bCs/>
                <w:color w:val="FFFFFF"/>
                <w:sz w:val="20"/>
                <w:szCs w:val="20"/>
              </w:rPr>
            </w:pPr>
            <w:r w:rsidRPr="008B40F7">
              <w:rPr>
                <w:rFonts w:ascii="Calibri" w:hAnsi="Calibri" w:cs="Calibri"/>
                <w:b/>
                <w:bCs/>
                <w:color w:val="FFFFFF"/>
                <w:sz w:val="20"/>
                <w:szCs w:val="20"/>
              </w:rPr>
              <w:t>2018-19</w:t>
            </w:r>
          </w:p>
        </w:tc>
        <w:tc>
          <w:tcPr>
            <w:tcW w:w="1492" w:type="dxa"/>
            <w:tcBorders>
              <w:bottom w:val="single" w:sz="4" w:space="0" w:color="auto"/>
            </w:tcBorders>
            <w:shd w:val="clear" w:color="auto" w:fill="002060"/>
          </w:tcPr>
          <w:p w14:paraId="264EB246" w14:textId="77777777" w:rsidR="00CB06F8" w:rsidRPr="008B40F7" w:rsidRDefault="00CB06F8" w:rsidP="008B40F7">
            <w:pPr>
              <w:spacing w:before="180" w:after="80" w:line="260" w:lineRule="atLeast"/>
              <w:rPr>
                <w:rFonts w:ascii="Calibri" w:hAnsi="Calibri" w:cs="Calibri"/>
                <w:b/>
                <w:bCs/>
                <w:color w:val="FFFFFF"/>
                <w:sz w:val="20"/>
                <w:szCs w:val="20"/>
              </w:rPr>
            </w:pPr>
            <w:r w:rsidRPr="008B40F7">
              <w:rPr>
                <w:rFonts w:ascii="Calibri" w:hAnsi="Calibri" w:cs="Calibri"/>
                <w:b/>
                <w:bCs/>
                <w:color w:val="FFFFFF"/>
                <w:sz w:val="20"/>
                <w:szCs w:val="20"/>
              </w:rPr>
              <w:t>2019-20</w:t>
            </w:r>
          </w:p>
        </w:tc>
        <w:tc>
          <w:tcPr>
            <w:tcW w:w="1497" w:type="dxa"/>
            <w:tcBorders>
              <w:bottom w:val="single" w:sz="4" w:space="0" w:color="auto"/>
            </w:tcBorders>
            <w:shd w:val="clear" w:color="auto" w:fill="002060"/>
          </w:tcPr>
          <w:p w14:paraId="3419E40C" w14:textId="77777777" w:rsidR="00CB06F8" w:rsidRPr="008B40F7" w:rsidRDefault="00CB06F8" w:rsidP="008B40F7">
            <w:pPr>
              <w:spacing w:before="180" w:after="80" w:line="260" w:lineRule="atLeast"/>
              <w:rPr>
                <w:rFonts w:ascii="Calibri" w:hAnsi="Calibri" w:cs="Calibri"/>
                <w:b/>
                <w:bCs/>
                <w:color w:val="FFFFFF"/>
                <w:sz w:val="20"/>
                <w:szCs w:val="20"/>
              </w:rPr>
            </w:pPr>
            <w:r w:rsidRPr="008B40F7">
              <w:rPr>
                <w:rFonts w:ascii="Calibri" w:hAnsi="Calibri" w:cs="Calibri"/>
                <w:b/>
                <w:bCs/>
                <w:color w:val="FFFFFF"/>
                <w:sz w:val="20"/>
                <w:szCs w:val="20"/>
              </w:rPr>
              <w:t>2020-21</w:t>
            </w:r>
          </w:p>
        </w:tc>
        <w:tc>
          <w:tcPr>
            <w:tcW w:w="1509" w:type="dxa"/>
            <w:tcBorders>
              <w:bottom w:val="single" w:sz="4" w:space="0" w:color="auto"/>
            </w:tcBorders>
            <w:shd w:val="clear" w:color="auto" w:fill="002060"/>
          </w:tcPr>
          <w:p w14:paraId="604E782C" w14:textId="77777777" w:rsidR="00CB06F8" w:rsidRPr="008B40F7" w:rsidRDefault="00CB06F8" w:rsidP="008B40F7">
            <w:pPr>
              <w:spacing w:before="180" w:after="80" w:line="260" w:lineRule="atLeast"/>
              <w:rPr>
                <w:rFonts w:ascii="Calibri" w:hAnsi="Calibri" w:cs="Calibri"/>
                <w:b/>
                <w:bCs/>
                <w:color w:val="FFFFFF"/>
                <w:sz w:val="20"/>
                <w:szCs w:val="20"/>
              </w:rPr>
            </w:pPr>
            <w:r w:rsidRPr="008B40F7">
              <w:rPr>
                <w:rFonts w:ascii="Calibri" w:hAnsi="Calibri" w:cs="Calibri"/>
                <w:b/>
                <w:bCs/>
                <w:color w:val="FFFFFF"/>
                <w:sz w:val="20"/>
                <w:szCs w:val="20"/>
              </w:rPr>
              <w:t>2021-22</w:t>
            </w:r>
          </w:p>
        </w:tc>
      </w:tr>
      <w:tr w:rsidR="00CB06F8" w:rsidRPr="00E568A6" w14:paraId="54104153" w14:textId="77777777" w:rsidTr="003B0BED">
        <w:tc>
          <w:tcPr>
            <w:tcW w:w="1535" w:type="dxa"/>
            <w:shd w:val="clear" w:color="auto" w:fill="002060"/>
          </w:tcPr>
          <w:p w14:paraId="6D49FADE" w14:textId="77777777" w:rsidR="00CB06F8" w:rsidRPr="008B40F7" w:rsidRDefault="00CB06F8" w:rsidP="008B40F7">
            <w:pPr>
              <w:spacing w:before="180" w:after="80" w:line="260" w:lineRule="atLeast"/>
              <w:rPr>
                <w:rFonts w:ascii="Calibri" w:hAnsi="Calibri" w:cs="Calibri"/>
                <w:b/>
                <w:bCs/>
                <w:sz w:val="20"/>
                <w:szCs w:val="20"/>
              </w:rPr>
            </w:pPr>
            <w:r w:rsidRPr="008B40F7">
              <w:rPr>
                <w:rFonts w:ascii="Calibri" w:hAnsi="Calibri" w:cs="Calibri"/>
                <w:b/>
                <w:bCs/>
                <w:sz w:val="20"/>
                <w:szCs w:val="20"/>
              </w:rPr>
              <w:t>Water and Sewerage</w:t>
            </w:r>
          </w:p>
        </w:tc>
        <w:tc>
          <w:tcPr>
            <w:tcW w:w="1491" w:type="dxa"/>
            <w:shd w:val="clear" w:color="auto" w:fill="FFFFFF"/>
          </w:tcPr>
          <w:p w14:paraId="4A2A011F" w14:textId="77777777" w:rsidR="00CB06F8" w:rsidRPr="008B40F7" w:rsidRDefault="00CB06F8" w:rsidP="008B40F7">
            <w:pPr>
              <w:spacing w:before="180" w:after="80" w:line="260" w:lineRule="atLeast"/>
              <w:rPr>
                <w:rFonts w:ascii="Calibri" w:hAnsi="Calibri" w:cs="Calibri"/>
                <w:sz w:val="20"/>
                <w:szCs w:val="20"/>
              </w:rPr>
            </w:pPr>
            <w:r w:rsidRPr="008B40F7">
              <w:rPr>
                <w:rFonts w:ascii="Calibri" w:hAnsi="Calibri" w:cs="Calibri"/>
                <w:sz w:val="20"/>
                <w:szCs w:val="20"/>
              </w:rPr>
              <w:t>771</w:t>
            </w:r>
          </w:p>
        </w:tc>
        <w:tc>
          <w:tcPr>
            <w:tcW w:w="1492" w:type="dxa"/>
            <w:shd w:val="clear" w:color="auto" w:fill="FFFFFF"/>
          </w:tcPr>
          <w:p w14:paraId="4879E072" w14:textId="65A2FC79" w:rsidR="00CB06F8" w:rsidRPr="008B40F7" w:rsidRDefault="00CB06F8" w:rsidP="008B40F7">
            <w:pPr>
              <w:spacing w:before="180" w:after="80" w:line="260" w:lineRule="atLeast"/>
              <w:rPr>
                <w:rFonts w:ascii="Calibri" w:hAnsi="Calibri" w:cs="Calibri"/>
                <w:sz w:val="20"/>
                <w:szCs w:val="20"/>
              </w:rPr>
            </w:pPr>
            <w:r w:rsidRPr="008B40F7">
              <w:rPr>
                <w:rFonts w:ascii="Calibri" w:hAnsi="Calibri" w:cs="Calibri"/>
                <w:sz w:val="20"/>
                <w:szCs w:val="20"/>
              </w:rPr>
              <w:t>1</w:t>
            </w:r>
            <w:r w:rsidR="003C182D">
              <w:rPr>
                <w:rFonts w:ascii="Calibri" w:hAnsi="Calibri" w:cs="Calibri"/>
                <w:sz w:val="20"/>
                <w:szCs w:val="20"/>
              </w:rPr>
              <w:t>,</w:t>
            </w:r>
            <w:r w:rsidRPr="008B40F7">
              <w:rPr>
                <w:rFonts w:ascii="Calibri" w:hAnsi="Calibri" w:cs="Calibri"/>
                <w:sz w:val="20"/>
                <w:szCs w:val="20"/>
              </w:rPr>
              <w:t>038</w:t>
            </w:r>
          </w:p>
        </w:tc>
        <w:tc>
          <w:tcPr>
            <w:tcW w:w="1492" w:type="dxa"/>
            <w:shd w:val="clear" w:color="auto" w:fill="FFFFFF"/>
          </w:tcPr>
          <w:p w14:paraId="06A45B9F" w14:textId="77777777" w:rsidR="00CB06F8" w:rsidRPr="008B40F7" w:rsidRDefault="00CB06F8" w:rsidP="008B40F7">
            <w:pPr>
              <w:spacing w:before="180" w:after="80" w:line="260" w:lineRule="atLeast"/>
              <w:rPr>
                <w:rFonts w:ascii="Calibri" w:hAnsi="Calibri" w:cs="Calibri"/>
                <w:sz w:val="20"/>
                <w:szCs w:val="20"/>
              </w:rPr>
            </w:pPr>
            <w:r w:rsidRPr="008B40F7">
              <w:rPr>
                <w:rFonts w:ascii="Calibri" w:hAnsi="Calibri" w:cs="Calibri"/>
                <w:sz w:val="20"/>
                <w:szCs w:val="20"/>
              </w:rPr>
              <w:t>649</w:t>
            </w:r>
          </w:p>
        </w:tc>
        <w:tc>
          <w:tcPr>
            <w:tcW w:w="1497" w:type="dxa"/>
            <w:shd w:val="clear" w:color="auto" w:fill="FFFFFF"/>
          </w:tcPr>
          <w:p w14:paraId="6A5B8CF2" w14:textId="77777777" w:rsidR="00CB06F8" w:rsidRPr="008B40F7" w:rsidRDefault="00CB06F8" w:rsidP="008B40F7">
            <w:pPr>
              <w:spacing w:before="180" w:after="80" w:line="260" w:lineRule="atLeast"/>
              <w:rPr>
                <w:rFonts w:ascii="Calibri" w:hAnsi="Calibri" w:cs="Calibri"/>
                <w:sz w:val="20"/>
                <w:szCs w:val="20"/>
              </w:rPr>
            </w:pPr>
            <w:r w:rsidRPr="008B40F7">
              <w:rPr>
                <w:rFonts w:ascii="Calibri" w:hAnsi="Calibri" w:cs="Calibri"/>
                <w:sz w:val="20"/>
                <w:szCs w:val="20"/>
              </w:rPr>
              <w:t>294</w:t>
            </w:r>
          </w:p>
        </w:tc>
        <w:tc>
          <w:tcPr>
            <w:tcW w:w="1509" w:type="dxa"/>
            <w:shd w:val="clear" w:color="auto" w:fill="FFFFFF"/>
          </w:tcPr>
          <w:p w14:paraId="553B03DE" w14:textId="77777777" w:rsidR="00CB06F8" w:rsidRPr="008B40F7" w:rsidRDefault="00CB06F8" w:rsidP="008B40F7">
            <w:pPr>
              <w:spacing w:before="180" w:after="80" w:line="260" w:lineRule="atLeast"/>
              <w:rPr>
                <w:rFonts w:ascii="Calibri" w:hAnsi="Calibri" w:cs="Calibri"/>
                <w:sz w:val="20"/>
                <w:szCs w:val="20"/>
              </w:rPr>
            </w:pPr>
            <w:r w:rsidRPr="008B40F7">
              <w:rPr>
                <w:rFonts w:ascii="Calibri" w:hAnsi="Calibri" w:cs="Calibri"/>
                <w:sz w:val="20"/>
                <w:szCs w:val="20"/>
              </w:rPr>
              <w:t>543</w:t>
            </w:r>
          </w:p>
        </w:tc>
      </w:tr>
      <w:tr w:rsidR="00CB06F8" w:rsidRPr="00E568A6" w14:paraId="56F2DD82" w14:textId="77777777" w:rsidTr="003B0BED">
        <w:tc>
          <w:tcPr>
            <w:tcW w:w="1535" w:type="dxa"/>
            <w:shd w:val="clear" w:color="auto" w:fill="002060"/>
          </w:tcPr>
          <w:p w14:paraId="0EA6F9A7" w14:textId="77777777" w:rsidR="00CB06F8" w:rsidRPr="008B40F7" w:rsidRDefault="00CB06F8" w:rsidP="008B40F7">
            <w:pPr>
              <w:spacing w:before="180" w:after="80" w:line="260" w:lineRule="atLeast"/>
              <w:rPr>
                <w:rFonts w:ascii="Calibri" w:hAnsi="Calibri" w:cs="Calibri"/>
                <w:b/>
                <w:bCs/>
                <w:sz w:val="20"/>
                <w:szCs w:val="20"/>
              </w:rPr>
            </w:pPr>
            <w:r w:rsidRPr="008B40F7">
              <w:rPr>
                <w:rFonts w:ascii="Calibri" w:hAnsi="Calibri" w:cs="Calibri"/>
                <w:b/>
                <w:bCs/>
                <w:sz w:val="20"/>
                <w:szCs w:val="20"/>
              </w:rPr>
              <w:t>Electricity</w:t>
            </w:r>
          </w:p>
        </w:tc>
        <w:tc>
          <w:tcPr>
            <w:tcW w:w="1491" w:type="dxa"/>
            <w:shd w:val="clear" w:color="auto" w:fill="FFFFFF"/>
          </w:tcPr>
          <w:p w14:paraId="36C42FBE" w14:textId="77777777" w:rsidR="00CB06F8" w:rsidRPr="008B40F7" w:rsidRDefault="00CB06F8" w:rsidP="008B40F7">
            <w:pPr>
              <w:spacing w:before="180" w:after="80" w:line="260" w:lineRule="atLeast"/>
              <w:rPr>
                <w:rFonts w:ascii="Calibri" w:hAnsi="Calibri" w:cs="Calibri"/>
                <w:sz w:val="20"/>
                <w:szCs w:val="20"/>
              </w:rPr>
            </w:pPr>
            <w:r w:rsidRPr="008B40F7">
              <w:rPr>
                <w:rFonts w:ascii="Calibri" w:hAnsi="Calibri" w:cs="Calibri"/>
                <w:sz w:val="20"/>
                <w:szCs w:val="20"/>
              </w:rPr>
              <w:t>234</w:t>
            </w:r>
          </w:p>
        </w:tc>
        <w:tc>
          <w:tcPr>
            <w:tcW w:w="1492" w:type="dxa"/>
            <w:shd w:val="clear" w:color="auto" w:fill="FFFFFF"/>
          </w:tcPr>
          <w:p w14:paraId="1F686F15" w14:textId="77777777" w:rsidR="00CB06F8" w:rsidRPr="008B40F7" w:rsidRDefault="00CB06F8" w:rsidP="008B40F7">
            <w:pPr>
              <w:spacing w:before="180" w:after="80" w:line="260" w:lineRule="atLeast"/>
              <w:rPr>
                <w:rFonts w:ascii="Calibri" w:hAnsi="Calibri" w:cs="Calibri"/>
                <w:sz w:val="20"/>
                <w:szCs w:val="20"/>
              </w:rPr>
            </w:pPr>
            <w:r w:rsidRPr="008B40F7">
              <w:rPr>
                <w:rFonts w:ascii="Calibri" w:hAnsi="Calibri" w:cs="Calibri"/>
                <w:sz w:val="20"/>
                <w:szCs w:val="20"/>
              </w:rPr>
              <w:t>812</w:t>
            </w:r>
          </w:p>
        </w:tc>
        <w:tc>
          <w:tcPr>
            <w:tcW w:w="1492" w:type="dxa"/>
            <w:shd w:val="clear" w:color="auto" w:fill="FFFFFF"/>
          </w:tcPr>
          <w:p w14:paraId="047A310E" w14:textId="77777777" w:rsidR="00CB06F8" w:rsidRPr="008B40F7" w:rsidRDefault="00CB06F8" w:rsidP="008B40F7">
            <w:pPr>
              <w:spacing w:before="180" w:after="80" w:line="260" w:lineRule="atLeast"/>
              <w:rPr>
                <w:rFonts w:ascii="Calibri" w:hAnsi="Calibri" w:cs="Calibri"/>
                <w:sz w:val="20"/>
                <w:szCs w:val="20"/>
              </w:rPr>
            </w:pPr>
            <w:r w:rsidRPr="008B40F7">
              <w:rPr>
                <w:rFonts w:ascii="Calibri" w:hAnsi="Calibri" w:cs="Calibri"/>
                <w:sz w:val="20"/>
                <w:szCs w:val="20"/>
              </w:rPr>
              <w:t>696</w:t>
            </w:r>
          </w:p>
        </w:tc>
        <w:tc>
          <w:tcPr>
            <w:tcW w:w="1497" w:type="dxa"/>
            <w:shd w:val="clear" w:color="auto" w:fill="FFFFFF"/>
          </w:tcPr>
          <w:p w14:paraId="5EB890F2" w14:textId="7D9CC195" w:rsidR="00CB06F8" w:rsidRPr="008B40F7" w:rsidRDefault="005376FD" w:rsidP="008B40F7">
            <w:pPr>
              <w:spacing w:before="180" w:after="80" w:line="260" w:lineRule="atLeast"/>
              <w:rPr>
                <w:rFonts w:ascii="Calibri" w:hAnsi="Calibri" w:cs="Calibri"/>
                <w:sz w:val="20"/>
                <w:szCs w:val="20"/>
              </w:rPr>
            </w:pPr>
            <w:r>
              <w:rPr>
                <w:rFonts w:ascii="Calibri" w:hAnsi="Calibri" w:cs="Calibri"/>
                <w:sz w:val="20"/>
                <w:szCs w:val="20"/>
              </w:rPr>
              <w:t>1,220</w:t>
            </w:r>
          </w:p>
        </w:tc>
        <w:tc>
          <w:tcPr>
            <w:tcW w:w="1509" w:type="dxa"/>
            <w:shd w:val="clear" w:color="auto" w:fill="FFFFFF"/>
          </w:tcPr>
          <w:p w14:paraId="699D69DB" w14:textId="734DF338" w:rsidR="00CB06F8" w:rsidRPr="008B40F7" w:rsidRDefault="00AC61E8" w:rsidP="008B40F7">
            <w:pPr>
              <w:spacing w:before="180" w:after="80" w:line="260" w:lineRule="atLeast"/>
              <w:rPr>
                <w:rFonts w:ascii="Calibri" w:hAnsi="Calibri" w:cs="Calibri"/>
                <w:sz w:val="20"/>
                <w:szCs w:val="20"/>
              </w:rPr>
            </w:pPr>
            <w:r>
              <w:rPr>
                <w:rFonts w:ascii="Calibri" w:hAnsi="Calibri" w:cs="Calibri"/>
                <w:sz w:val="20"/>
                <w:szCs w:val="20"/>
              </w:rPr>
              <w:t>1,684</w:t>
            </w:r>
          </w:p>
        </w:tc>
      </w:tr>
      <w:tr w:rsidR="00CB06F8" w:rsidRPr="00E568A6" w14:paraId="42E1F551" w14:textId="77777777" w:rsidTr="003B0BED">
        <w:trPr>
          <w:trHeight w:val="57"/>
        </w:trPr>
        <w:tc>
          <w:tcPr>
            <w:tcW w:w="1535" w:type="dxa"/>
            <w:shd w:val="clear" w:color="auto" w:fill="002060"/>
          </w:tcPr>
          <w:p w14:paraId="3E28B418" w14:textId="77777777" w:rsidR="00CB06F8" w:rsidRPr="008B40F7" w:rsidRDefault="00CB06F8" w:rsidP="008B40F7">
            <w:pPr>
              <w:spacing w:before="180" w:after="80" w:line="260" w:lineRule="atLeast"/>
              <w:rPr>
                <w:rFonts w:ascii="Calibri" w:hAnsi="Calibri" w:cs="Calibri"/>
                <w:b/>
                <w:bCs/>
                <w:sz w:val="20"/>
                <w:szCs w:val="20"/>
              </w:rPr>
            </w:pPr>
            <w:r w:rsidRPr="008B40F7">
              <w:rPr>
                <w:rFonts w:ascii="Calibri" w:hAnsi="Calibri" w:cs="Calibri"/>
                <w:b/>
                <w:bCs/>
                <w:sz w:val="20"/>
                <w:szCs w:val="20"/>
              </w:rPr>
              <w:t>Gas</w:t>
            </w:r>
          </w:p>
        </w:tc>
        <w:tc>
          <w:tcPr>
            <w:tcW w:w="1491" w:type="dxa"/>
            <w:shd w:val="clear" w:color="auto" w:fill="FFFFFF"/>
          </w:tcPr>
          <w:p w14:paraId="3A91DDD4" w14:textId="77777777" w:rsidR="00CB06F8" w:rsidRPr="008B40F7" w:rsidRDefault="00CB06F8" w:rsidP="008B40F7">
            <w:pPr>
              <w:spacing w:before="180" w:after="80" w:line="260" w:lineRule="atLeast"/>
              <w:rPr>
                <w:rFonts w:ascii="Calibri" w:hAnsi="Calibri" w:cs="Calibri"/>
                <w:sz w:val="20"/>
                <w:szCs w:val="20"/>
              </w:rPr>
            </w:pPr>
            <w:r w:rsidRPr="008B40F7">
              <w:rPr>
                <w:rFonts w:ascii="Calibri" w:hAnsi="Calibri" w:cs="Calibri"/>
                <w:sz w:val="20"/>
                <w:szCs w:val="20"/>
              </w:rPr>
              <w:t>256</w:t>
            </w:r>
          </w:p>
        </w:tc>
        <w:tc>
          <w:tcPr>
            <w:tcW w:w="1492" w:type="dxa"/>
            <w:shd w:val="clear" w:color="auto" w:fill="FFFFFF"/>
          </w:tcPr>
          <w:p w14:paraId="08F7D115" w14:textId="77777777" w:rsidR="00CB06F8" w:rsidRPr="008B40F7" w:rsidRDefault="00CB06F8" w:rsidP="008B40F7">
            <w:pPr>
              <w:spacing w:before="180" w:after="80" w:line="260" w:lineRule="atLeast"/>
              <w:rPr>
                <w:rFonts w:ascii="Calibri" w:hAnsi="Calibri" w:cs="Calibri"/>
                <w:sz w:val="20"/>
                <w:szCs w:val="20"/>
              </w:rPr>
            </w:pPr>
            <w:r w:rsidRPr="008B40F7">
              <w:rPr>
                <w:rFonts w:ascii="Calibri" w:hAnsi="Calibri" w:cs="Calibri"/>
                <w:sz w:val="20"/>
                <w:szCs w:val="20"/>
              </w:rPr>
              <w:t>410</w:t>
            </w:r>
          </w:p>
        </w:tc>
        <w:tc>
          <w:tcPr>
            <w:tcW w:w="1492" w:type="dxa"/>
            <w:shd w:val="clear" w:color="auto" w:fill="FFFFFF"/>
          </w:tcPr>
          <w:p w14:paraId="261CB58C" w14:textId="77777777" w:rsidR="00CB06F8" w:rsidRPr="008B40F7" w:rsidRDefault="00CB06F8" w:rsidP="008B40F7">
            <w:pPr>
              <w:spacing w:before="180" w:after="80" w:line="260" w:lineRule="atLeast"/>
              <w:rPr>
                <w:rFonts w:ascii="Calibri" w:hAnsi="Calibri" w:cs="Calibri"/>
                <w:sz w:val="20"/>
                <w:szCs w:val="20"/>
              </w:rPr>
            </w:pPr>
            <w:r w:rsidRPr="008B40F7">
              <w:rPr>
                <w:rFonts w:ascii="Calibri" w:hAnsi="Calibri" w:cs="Calibri"/>
                <w:sz w:val="20"/>
                <w:szCs w:val="20"/>
              </w:rPr>
              <w:t>1</w:t>
            </w:r>
          </w:p>
        </w:tc>
        <w:tc>
          <w:tcPr>
            <w:tcW w:w="1497" w:type="dxa"/>
            <w:shd w:val="clear" w:color="auto" w:fill="FFFFFF"/>
          </w:tcPr>
          <w:p w14:paraId="366D8810" w14:textId="1D8D1D65" w:rsidR="00CB06F8" w:rsidRPr="008B40F7" w:rsidRDefault="00521FB5" w:rsidP="008B40F7">
            <w:pPr>
              <w:spacing w:before="180" w:after="80" w:line="260" w:lineRule="atLeast"/>
              <w:rPr>
                <w:rFonts w:ascii="Calibri" w:hAnsi="Calibri" w:cs="Calibri"/>
                <w:sz w:val="20"/>
                <w:szCs w:val="20"/>
              </w:rPr>
            </w:pPr>
            <w:r>
              <w:rPr>
                <w:rFonts w:ascii="Calibri" w:hAnsi="Calibri" w:cs="Calibri"/>
                <w:sz w:val="20"/>
                <w:szCs w:val="20"/>
              </w:rPr>
              <w:t>2</w:t>
            </w:r>
          </w:p>
        </w:tc>
        <w:tc>
          <w:tcPr>
            <w:tcW w:w="1509" w:type="dxa"/>
            <w:shd w:val="clear" w:color="auto" w:fill="FFFFFF"/>
          </w:tcPr>
          <w:p w14:paraId="23099D3D" w14:textId="77777777" w:rsidR="00CB06F8" w:rsidRPr="008B40F7" w:rsidRDefault="00CB06F8" w:rsidP="008B40F7">
            <w:pPr>
              <w:spacing w:before="180" w:after="80" w:line="260" w:lineRule="atLeast"/>
              <w:rPr>
                <w:rFonts w:ascii="Calibri" w:hAnsi="Calibri" w:cs="Calibri"/>
                <w:sz w:val="20"/>
                <w:szCs w:val="20"/>
              </w:rPr>
            </w:pPr>
            <w:r w:rsidRPr="008B40F7">
              <w:rPr>
                <w:rFonts w:ascii="Calibri" w:hAnsi="Calibri" w:cs="Calibri"/>
                <w:sz w:val="20"/>
                <w:szCs w:val="20"/>
              </w:rPr>
              <w:t>2</w:t>
            </w:r>
          </w:p>
        </w:tc>
      </w:tr>
      <w:tr w:rsidR="00CB06F8" w:rsidRPr="00E568A6" w14:paraId="6AD40DCA" w14:textId="77777777" w:rsidTr="003B0BED">
        <w:tc>
          <w:tcPr>
            <w:tcW w:w="1535" w:type="dxa"/>
            <w:shd w:val="clear" w:color="auto" w:fill="002060"/>
          </w:tcPr>
          <w:p w14:paraId="718CFB31" w14:textId="77777777" w:rsidR="00CB06F8" w:rsidRPr="008B40F7" w:rsidRDefault="004436AC" w:rsidP="008B40F7">
            <w:pPr>
              <w:spacing w:before="180" w:after="80" w:line="260" w:lineRule="atLeast"/>
              <w:rPr>
                <w:rFonts w:ascii="Calibri" w:hAnsi="Calibri" w:cs="Calibri"/>
                <w:b/>
                <w:bCs/>
                <w:sz w:val="20"/>
                <w:szCs w:val="20"/>
              </w:rPr>
            </w:pPr>
            <w:r>
              <w:rPr>
                <w:rFonts w:ascii="Calibri" w:hAnsi="Calibri" w:cs="Calibri"/>
                <w:b/>
                <w:bCs/>
                <w:sz w:val="20"/>
                <w:szCs w:val="20"/>
              </w:rPr>
              <w:t>Energy</w:t>
            </w:r>
            <w:r w:rsidRPr="008B40F7">
              <w:rPr>
                <w:rFonts w:ascii="Calibri" w:hAnsi="Calibri" w:cs="Calibri"/>
                <w:b/>
                <w:bCs/>
                <w:sz w:val="20"/>
                <w:szCs w:val="20"/>
              </w:rPr>
              <w:t xml:space="preserve"> </w:t>
            </w:r>
            <w:r w:rsidR="00CB06F8" w:rsidRPr="008B40F7">
              <w:rPr>
                <w:rFonts w:ascii="Calibri" w:hAnsi="Calibri" w:cs="Calibri"/>
                <w:b/>
                <w:bCs/>
                <w:sz w:val="20"/>
                <w:szCs w:val="20"/>
              </w:rPr>
              <w:t>Retailers</w:t>
            </w:r>
          </w:p>
        </w:tc>
        <w:tc>
          <w:tcPr>
            <w:tcW w:w="1491" w:type="dxa"/>
            <w:shd w:val="clear" w:color="auto" w:fill="FFFFFF"/>
          </w:tcPr>
          <w:p w14:paraId="488D6DAD" w14:textId="77777777" w:rsidR="00CB06F8" w:rsidRPr="008B40F7" w:rsidRDefault="00CB06F8" w:rsidP="008B40F7">
            <w:pPr>
              <w:spacing w:before="180" w:after="80" w:line="260" w:lineRule="atLeast"/>
              <w:rPr>
                <w:rFonts w:ascii="Calibri" w:hAnsi="Calibri" w:cs="Calibri"/>
                <w:sz w:val="20"/>
                <w:szCs w:val="20"/>
              </w:rPr>
            </w:pPr>
            <w:r w:rsidRPr="008B40F7">
              <w:rPr>
                <w:rFonts w:ascii="Calibri" w:hAnsi="Calibri" w:cs="Calibri"/>
                <w:sz w:val="20"/>
                <w:szCs w:val="20"/>
              </w:rPr>
              <w:t>-</w:t>
            </w:r>
          </w:p>
        </w:tc>
        <w:tc>
          <w:tcPr>
            <w:tcW w:w="1492" w:type="dxa"/>
            <w:shd w:val="clear" w:color="auto" w:fill="FFFFFF"/>
          </w:tcPr>
          <w:p w14:paraId="74B56ED2" w14:textId="77777777" w:rsidR="00CB06F8" w:rsidRPr="008B40F7" w:rsidRDefault="00CB06F8" w:rsidP="008B40F7">
            <w:pPr>
              <w:spacing w:before="180" w:after="80" w:line="260" w:lineRule="atLeast"/>
              <w:rPr>
                <w:rFonts w:ascii="Calibri" w:hAnsi="Calibri" w:cs="Calibri"/>
                <w:sz w:val="20"/>
                <w:szCs w:val="20"/>
              </w:rPr>
            </w:pPr>
            <w:r w:rsidRPr="008B40F7">
              <w:rPr>
                <w:rFonts w:ascii="Calibri" w:hAnsi="Calibri" w:cs="Calibri"/>
                <w:sz w:val="20"/>
                <w:szCs w:val="20"/>
              </w:rPr>
              <w:t>-</w:t>
            </w:r>
          </w:p>
        </w:tc>
        <w:tc>
          <w:tcPr>
            <w:tcW w:w="1492" w:type="dxa"/>
            <w:shd w:val="clear" w:color="auto" w:fill="FFFFFF"/>
          </w:tcPr>
          <w:p w14:paraId="6F695A7C" w14:textId="77777777" w:rsidR="00CB06F8" w:rsidRPr="008B40F7" w:rsidRDefault="00CB06F8" w:rsidP="008B40F7">
            <w:pPr>
              <w:spacing w:before="180" w:after="80" w:line="260" w:lineRule="atLeast"/>
              <w:rPr>
                <w:rFonts w:ascii="Calibri" w:hAnsi="Calibri" w:cs="Calibri"/>
                <w:sz w:val="20"/>
                <w:szCs w:val="20"/>
              </w:rPr>
            </w:pPr>
            <w:r w:rsidRPr="008B40F7">
              <w:rPr>
                <w:rFonts w:ascii="Calibri" w:hAnsi="Calibri" w:cs="Calibri"/>
                <w:sz w:val="20"/>
                <w:szCs w:val="20"/>
              </w:rPr>
              <w:t>-</w:t>
            </w:r>
          </w:p>
        </w:tc>
        <w:tc>
          <w:tcPr>
            <w:tcW w:w="1497" w:type="dxa"/>
            <w:shd w:val="clear" w:color="auto" w:fill="FFFFFF"/>
          </w:tcPr>
          <w:p w14:paraId="37C12BFA" w14:textId="77777777" w:rsidR="00CB06F8" w:rsidRPr="008B40F7" w:rsidRDefault="00CB06F8" w:rsidP="008B40F7">
            <w:pPr>
              <w:spacing w:before="180" w:after="80" w:line="260" w:lineRule="atLeast"/>
              <w:rPr>
                <w:rFonts w:ascii="Calibri" w:hAnsi="Calibri" w:cs="Calibri"/>
                <w:sz w:val="20"/>
                <w:szCs w:val="20"/>
              </w:rPr>
            </w:pPr>
            <w:r w:rsidRPr="008B40F7">
              <w:rPr>
                <w:rFonts w:ascii="Calibri" w:hAnsi="Calibri" w:cs="Calibri"/>
                <w:sz w:val="20"/>
                <w:szCs w:val="20"/>
              </w:rPr>
              <w:t>275</w:t>
            </w:r>
          </w:p>
        </w:tc>
        <w:tc>
          <w:tcPr>
            <w:tcW w:w="1509" w:type="dxa"/>
            <w:shd w:val="clear" w:color="auto" w:fill="FFFFFF"/>
          </w:tcPr>
          <w:p w14:paraId="08C0E313" w14:textId="77777777" w:rsidR="00CB06F8" w:rsidRPr="008B40F7" w:rsidRDefault="00CB06F8" w:rsidP="008B40F7">
            <w:pPr>
              <w:spacing w:before="180" w:after="80" w:line="260" w:lineRule="atLeast"/>
              <w:rPr>
                <w:rFonts w:ascii="Calibri" w:hAnsi="Calibri" w:cs="Calibri"/>
                <w:sz w:val="20"/>
                <w:szCs w:val="20"/>
              </w:rPr>
            </w:pPr>
            <w:r w:rsidRPr="008B40F7">
              <w:rPr>
                <w:rFonts w:ascii="Calibri" w:hAnsi="Calibri" w:cs="Calibri"/>
                <w:sz w:val="20"/>
                <w:szCs w:val="20"/>
              </w:rPr>
              <w:t>269</w:t>
            </w:r>
          </w:p>
        </w:tc>
      </w:tr>
    </w:tbl>
    <w:p w14:paraId="490A9243" w14:textId="77777777" w:rsidR="003B0BED" w:rsidRPr="003B0BED" w:rsidRDefault="003B0BED" w:rsidP="003B0BED">
      <w:pPr>
        <w:suppressAutoHyphens/>
        <w:spacing w:after="80"/>
        <w:rPr>
          <w:rFonts w:ascii="Calibri" w:eastAsia="SimSun" w:hAnsi="Calibri" w:cs="Calibri"/>
          <w:sz w:val="16"/>
          <w:szCs w:val="16"/>
          <w:lang w:eastAsia="zh-CN"/>
        </w:rPr>
      </w:pPr>
    </w:p>
    <w:p w14:paraId="08FB70BA" w14:textId="2C4E6364" w:rsidR="00746D22" w:rsidRPr="009664A4" w:rsidRDefault="24BEDE26" w:rsidP="0A440539">
      <w:pPr>
        <w:spacing w:line="259" w:lineRule="auto"/>
        <w:rPr>
          <w:rFonts w:ascii="Calibri" w:eastAsia="Calibri" w:hAnsi="Calibri" w:cs="Calibri"/>
          <w:lang w:eastAsia="en-US"/>
        </w:rPr>
      </w:pPr>
      <w:r w:rsidRPr="0A440539">
        <w:rPr>
          <w:rFonts w:ascii="Calibri" w:eastAsia="Calibri" w:hAnsi="Calibri" w:cs="Calibri"/>
          <w:lang w:eastAsia="en-US"/>
        </w:rPr>
        <w:t>When a utility does not meet its guaranteed service level obligations it needs to pay a rebate to the customer. This mechanism is meant to be largely self-enforcing. Howev</w:t>
      </w:r>
      <w:r w:rsidR="229F6BF3" w:rsidRPr="0A440539">
        <w:rPr>
          <w:rFonts w:ascii="Calibri" w:eastAsia="Calibri" w:hAnsi="Calibri" w:cs="Calibri"/>
          <w:lang w:eastAsia="en-US"/>
        </w:rPr>
        <w:t xml:space="preserve">er, the levels of non-compliance with guaranteed service levels raise the issue of whether additional regulatory measures may be appropriate noting </w:t>
      </w:r>
      <w:r w:rsidR="003BCD68" w:rsidRPr="0A440539">
        <w:rPr>
          <w:rFonts w:ascii="Calibri" w:eastAsia="Calibri" w:hAnsi="Calibri" w:cs="Calibri"/>
          <w:lang w:eastAsia="en-US"/>
        </w:rPr>
        <w:t xml:space="preserve">that </w:t>
      </w:r>
      <w:r w:rsidR="229F6BF3" w:rsidRPr="0A440539">
        <w:rPr>
          <w:rFonts w:ascii="Calibri" w:eastAsia="Calibri" w:hAnsi="Calibri" w:cs="Calibri"/>
          <w:lang w:eastAsia="en-US"/>
        </w:rPr>
        <w:t>currently</w:t>
      </w:r>
      <w:r w:rsidR="4E0349D1" w:rsidRPr="0A440539">
        <w:rPr>
          <w:rFonts w:ascii="Calibri" w:eastAsia="Calibri" w:hAnsi="Calibri" w:cs="Calibri"/>
          <w:lang w:eastAsia="en-US"/>
        </w:rPr>
        <w:t>, the</w:t>
      </w:r>
      <w:r w:rsidR="229F6BF3" w:rsidRPr="0A440539">
        <w:rPr>
          <w:rFonts w:ascii="Calibri" w:eastAsia="Calibri" w:hAnsi="Calibri" w:cs="Calibri"/>
          <w:lang w:eastAsia="en-US"/>
        </w:rPr>
        <w:t xml:space="preserve"> </w:t>
      </w:r>
      <w:r w:rsidR="51004D58" w:rsidRPr="0A440539">
        <w:rPr>
          <w:rFonts w:ascii="Calibri" w:eastAsia="Calibri" w:hAnsi="Calibri" w:cs="Calibri"/>
          <w:lang w:eastAsia="en-US"/>
        </w:rPr>
        <w:t>options to address these issues are based on a criminal law enforcement stream.</w:t>
      </w:r>
    </w:p>
    <w:p w14:paraId="7049BF10" w14:textId="7B9B26A9" w:rsidR="459E75AB" w:rsidRDefault="459E75AB" w:rsidP="15DFB6C5">
      <w:pPr>
        <w:spacing w:line="259" w:lineRule="auto"/>
        <w:rPr>
          <w:rFonts w:ascii="Calibri" w:eastAsia="Calibri" w:hAnsi="Calibri" w:cs="Calibri"/>
          <w:lang w:eastAsia="en-US"/>
        </w:rPr>
      </w:pPr>
    </w:p>
    <w:p w14:paraId="2E5A808D" w14:textId="18276647" w:rsidR="00746D22" w:rsidRPr="009664A4" w:rsidRDefault="00746D22" w:rsidP="00004D84">
      <w:pPr>
        <w:keepNext/>
        <w:spacing w:line="259" w:lineRule="auto"/>
        <w:rPr>
          <w:rFonts w:ascii="Calibri" w:eastAsia="Calibri" w:hAnsi="Calibri" w:cs="Calibri"/>
          <w:b/>
          <w:bCs/>
        </w:rPr>
      </w:pPr>
      <w:r w:rsidRPr="009664A4">
        <w:rPr>
          <w:rFonts w:ascii="Calibri" w:eastAsia="Calibri" w:hAnsi="Calibri" w:cs="Calibri"/>
          <w:b/>
          <w:bCs/>
        </w:rPr>
        <w:lastRenderedPageBreak/>
        <w:t xml:space="preserve">Options to </w:t>
      </w:r>
      <w:r w:rsidR="002D6F92" w:rsidRPr="009664A4">
        <w:rPr>
          <w:rFonts w:ascii="Calibri" w:eastAsia="Calibri" w:hAnsi="Calibri" w:cs="Calibri"/>
          <w:b/>
          <w:bCs/>
        </w:rPr>
        <w:t xml:space="preserve">ensure </w:t>
      </w:r>
      <w:proofErr w:type="gramStart"/>
      <w:r w:rsidR="002D6F92" w:rsidRPr="009664A4">
        <w:rPr>
          <w:rFonts w:ascii="Calibri" w:eastAsia="Calibri" w:hAnsi="Calibri" w:cs="Calibri"/>
          <w:b/>
          <w:bCs/>
        </w:rPr>
        <w:t>compliance</w:t>
      </w:r>
      <w:proofErr w:type="gramEnd"/>
      <w:r w:rsidR="0064566D">
        <w:rPr>
          <w:rFonts w:ascii="Calibri" w:eastAsia="Calibri" w:hAnsi="Calibri" w:cs="Calibri"/>
          <w:b/>
          <w:bCs/>
        </w:rPr>
        <w:t xml:space="preserve"> </w:t>
      </w:r>
    </w:p>
    <w:p w14:paraId="61027212" w14:textId="77777777" w:rsidR="00570484" w:rsidRDefault="00570484" w:rsidP="002D3F75">
      <w:pPr>
        <w:keepNext/>
        <w:rPr>
          <w:rFonts w:ascii="Calibri" w:eastAsia="Calibri" w:hAnsi="Calibri" w:cs="Calibri"/>
        </w:rPr>
      </w:pPr>
    </w:p>
    <w:p w14:paraId="1FED7810" w14:textId="77777777" w:rsidR="00A21E4C" w:rsidRDefault="002D6F92" w:rsidP="009664A4">
      <w:pPr>
        <w:rPr>
          <w:rFonts w:ascii="Calibri" w:eastAsia="Calibri" w:hAnsi="Calibri" w:cs="Calibri"/>
        </w:rPr>
      </w:pPr>
      <w:r w:rsidRPr="484E3B8A">
        <w:rPr>
          <w:rFonts w:ascii="Calibri" w:eastAsia="Calibri" w:hAnsi="Calibri" w:cs="Calibri"/>
        </w:rPr>
        <w:t>Consistent with the approach of other risk</w:t>
      </w:r>
      <w:r w:rsidR="00570484" w:rsidRPr="484E3B8A">
        <w:rPr>
          <w:rFonts w:ascii="Calibri" w:eastAsia="Calibri" w:hAnsi="Calibri" w:cs="Calibri"/>
        </w:rPr>
        <w:t>-</w:t>
      </w:r>
      <w:r w:rsidRPr="484E3B8A">
        <w:rPr>
          <w:rFonts w:ascii="Calibri" w:eastAsia="Calibri" w:hAnsi="Calibri" w:cs="Calibri"/>
        </w:rPr>
        <w:t xml:space="preserve">based regulators, the ICRC engages with utilities and retailers </w:t>
      </w:r>
      <w:r w:rsidR="00D97DBA" w:rsidRPr="484E3B8A">
        <w:rPr>
          <w:rFonts w:ascii="Calibri" w:eastAsia="Calibri" w:hAnsi="Calibri" w:cs="Calibri"/>
        </w:rPr>
        <w:t xml:space="preserve">with the aim of ensuring that </w:t>
      </w:r>
      <w:r w:rsidR="3B2C3714" w:rsidRPr="484E3B8A">
        <w:rPr>
          <w:rFonts w:ascii="Calibri" w:eastAsia="Calibri" w:hAnsi="Calibri" w:cs="Calibri"/>
        </w:rPr>
        <w:t xml:space="preserve">less serious contraventions of the law </w:t>
      </w:r>
      <w:r w:rsidRPr="484E3B8A">
        <w:rPr>
          <w:rFonts w:ascii="Calibri" w:eastAsia="Calibri" w:hAnsi="Calibri" w:cs="Calibri"/>
        </w:rPr>
        <w:t xml:space="preserve">are </w:t>
      </w:r>
      <w:r w:rsidR="00D97DBA" w:rsidRPr="484E3B8A">
        <w:rPr>
          <w:rFonts w:ascii="Calibri" w:eastAsia="Calibri" w:hAnsi="Calibri" w:cs="Calibri"/>
        </w:rPr>
        <w:t>rectified</w:t>
      </w:r>
      <w:r w:rsidRPr="484E3B8A">
        <w:rPr>
          <w:rFonts w:ascii="Calibri" w:eastAsia="Calibri" w:hAnsi="Calibri" w:cs="Calibri"/>
        </w:rPr>
        <w:t xml:space="preserve"> without the need to rely on formal enforcement powers. </w:t>
      </w:r>
    </w:p>
    <w:p w14:paraId="1B1855BE" w14:textId="77777777" w:rsidR="00A21E4C" w:rsidRDefault="00A21E4C" w:rsidP="009664A4">
      <w:pPr>
        <w:rPr>
          <w:rFonts w:ascii="Calibri" w:eastAsia="Calibri" w:hAnsi="Calibri" w:cs="Calibri"/>
        </w:rPr>
      </w:pPr>
    </w:p>
    <w:p w14:paraId="35DEF601" w14:textId="7423C3B8" w:rsidR="00A278C7" w:rsidRDefault="061CD19D" w:rsidP="009664A4">
      <w:pPr>
        <w:rPr>
          <w:rFonts w:ascii="Calibri" w:eastAsia="Calibri" w:hAnsi="Calibri" w:cs="Calibri"/>
        </w:rPr>
      </w:pPr>
      <w:r w:rsidRPr="484E3B8A">
        <w:rPr>
          <w:rFonts w:ascii="Calibri" w:eastAsia="Calibri" w:hAnsi="Calibri" w:cs="Calibri"/>
        </w:rPr>
        <w:t>Box 3.1 provides two examples where the ICRC attempted resolve non-compliance</w:t>
      </w:r>
      <w:r w:rsidR="6EBCD1B8" w:rsidRPr="484E3B8A">
        <w:rPr>
          <w:rFonts w:ascii="Calibri" w:eastAsia="Calibri" w:hAnsi="Calibri" w:cs="Calibri"/>
        </w:rPr>
        <w:t xml:space="preserve"> issues of </w:t>
      </w:r>
      <w:r w:rsidR="7FC6B875" w:rsidRPr="484E3B8A">
        <w:rPr>
          <w:rFonts w:ascii="Calibri" w:eastAsia="Calibri" w:hAnsi="Calibri" w:cs="Calibri"/>
        </w:rPr>
        <w:t>utilities</w:t>
      </w:r>
      <w:r w:rsidR="6EBCD1B8" w:rsidRPr="484E3B8A">
        <w:rPr>
          <w:rFonts w:ascii="Calibri" w:eastAsia="Calibri" w:hAnsi="Calibri" w:cs="Calibri"/>
        </w:rPr>
        <w:t xml:space="preserve"> using informal enforcement strategies. </w:t>
      </w:r>
    </w:p>
    <w:p w14:paraId="6FF3C7C7" w14:textId="430A9A30" w:rsidR="484E3B8A" w:rsidRDefault="484E3B8A" w:rsidP="484E3B8A">
      <w:pPr>
        <w:rPr>
          <w:rFonts w:ascii="Calibri" w:eastAsia="Calibri" w:hAnsi="Calibri" w:cs="Calibri"/>
        </w:rPr>
      </w:pPr>
    </w:p>
    <w:p w14:paraId="1D15A999" w14:textId="050083EA" w:rsidR="42B0C3A9" w:rsidRDefault="42B0C3A9" w:rsidP="00004D84">
      <w:pPr>
        <w:pStyle w:val="Caption"/>
        <w:spacing w:before="0" w:after="120" w:line="240" w:lineRule="auto"/>
      </w:pPr>
      <w:r w:rsidRPr="00004D84">
        <w:rPr>
          <w:sz w:val="24"/>
          <w:szCs w:val="24"/>
        </w:rPr>
        <w:t>Box 3.1 Examples of IC</w:t>
      </w:r>
      <w:r w:rsidR="6B554730" w:rsidRPr="00004D84">
        <w:rPr>
          <w:sz w:val="24"/>
          <w:szCs w:val="24"/>
        </w:rPr>
        <w:t>RC’s informal enforcement strategies</w:t>
      </w:r>
    </w:p>
    <w:tbl>
      <w:tblPr>
        <w:tblStyle w:val="TableGrid"/>
        <w:tblW w:w="0" w:type="auto"/>
        <w:tblLayout w:type="fixed"/>
        <w:tblLook w:val="06A0" w:firstRow="1" w:lastRow="0" w:firstColumn="1" w:lastColumn="0" w:noHBand="1" w:noVBand="1"/>
      </w:tblPr>
      <w:tblGrid>
        <w:gridCol w:w="9015"/>
      </w:tblGrid>
      <w:tr w:rsidR="484E3B8A" w14:paraId="062811C7" w14:textId="77777777" w:rsidTr="4AC9EDCA">
        <w:trPr>
          <w:trHeight w:val="300"/>
        </w:trPr>
        <w:tc>
          <w:tcPr>
            <w:tcW w:w="9015" w:type="dxa"/>
          </w:tcPr>
          <w:p w14:paraId="478105E2" w14:textId="32E4D2E7" w:rsidR="6B554730" w:rsidRDefault="6B554730" w:rsidP="484E3B8A">
            <w:pPr>
              <w:rPr>
                <w:rFonts w:ascii="Calibri" w:eastAsia="Calibri" w:hAnsi="Calibri" w:cs="Calibri"/>
                <w:u w:val="single"/>
              </w:rPr>
            </w:pPr>
            <w:r w:rsidRPr="00004D84">
              <w:rPr>
                <w:rFonts w:ascii="Calibri" w:eastAsia="Calibri" w:hAnsi="Calibri" w:cs="Calibri"/>
                <w:u w:val="single"/>
              </w:rPr>
              <w:t>Example 1: Greenpower advertising</w:t>
            </w:r>
          </w:p>
          <w:p w14:paraId="5B52C99A" w14:textId="008299B0" w:rsidR="484E3B8A" w:rsidRDefault="484E3B8A" w:rsidP="484E3B8A">
            <w:pPr>
              <w:rPr>
                <w:rFonts w:ascii="Calibri" w:eastAsia="Calibri" w:hAnsi="Calibri" w:cs="Calibri"/>
              </w:rPr>
            </w:pPr>
          </w:p>
          <w:p w14:paraId="41B3F3EE" w14:textId="1D00F48F" w:rsidR="6226ADD8" w:rsidRDefault="6226ADD8" w:rsidP="484E3B8A">
            <w:pPr>
              <w:rPr>
                <w:rFonts w:ascii="Calibri" w:eastAsia="Calibri" w:hAnsi="Calibri" w:cs="Calibri"/>
              </w:rPr>
            </w:pPr>
            <w:r w:rsidRPr="484E3B8A">
              <w:rPr>
                <w:rFonts w:ascii="Calibri" w:eastAsia="Calibri" w:hAnsi="Calibri" w:cs="Calibri"/>
              </w:rPr>
              <w:t>Under the</w:t>
            </w:r>
            <w:r w:rsidR="03586D62" w:rsidRPr="484E3B8A">
              <w:rPr>
                <w:rFonts w:ascii="Calibri" w:eastAsia="Calibri" w:hAnsi="Calibri" w:cs="Calibri"/>
              </w:rPr>
              <w:t xml:space="preserve"> </w:t>
            </w:r>
            <w:r w:rsidR="4B6BA13A" w:rsidRPr="484E3B8A">
              <w:rPr>
                <w:rFonts w:ascii="Calibri" w:eastAsia="Calibri" w:hAnsi="Calibri" w:cs="Calibri"/>
              </w:rPr>
              <w:t>Utilities Act</w:t>
            </w:r>
            <w:r w:rsidRPr="484E3B8A">
              <w:rPr>
                <w:rFonts w:ascii="Calibri" w:eastAsia="Calibri" w:hAnsi="Calibri" w:cs="Calibri"/>
              </w:rPr>
              <w:t xml:space="preserve">, energy retailers operating in the ACT must have a greenpower </w:t>
            </w:r>
            <w:r w:rsidR="4B985FFC" w:rsidRPr="484E3B8A">
              <w:rPr>
                <w:rFonts w:ascii="Calibri" w:eastAsia="Calibri" w:hAnsi="Calibri" w:cs="Calibri"/>
              </w:rPr>
              <w:t>product available for customers to purchase. In choosing a greenpower product, an average customer incurs $160 to $340 in additional fees per year to an annual power bill.</w:t>
            </w:r>
          </w:p>
          <w:p w14:paraId="5C9AB48A" w14:textId="5D09D95C" w:rsidR="484E3B8A" w:rsidRDefault="484E3B8A" w:rsidP="484E3B8A">
            <w:pPr>
              <w:rPr>
                <w:rFonts w:ascii="Calibri" w:eastAsia="Calibri" w:hAnsi="Calibri" w:cs="Calibri"/>
              </w:rPr>
            </w:pPr>
          </w:p>
          <w:p w14:paraId="4B0F55CA" w14:textId="0CA7A9A7" w:rsidR="4B985FFC" w:rsidRDefault="4B985FFC" w:rsidP="484E3B8A">
            <w:pPr>
              <w:rPr>
                <w:rFonts w:ascii="Calibri" w:eastAsia="Calibri" w:hAnsi="Calibri" w:cs="Calibri"/>
              </w:rPr>
            </w:pPr>
            <w:r w:rsidRPr="484E3B8A">
              <w:rPr>
                <w:rFonts w:ascii="Calibri" w:eastAsia="Calibri" w:hAnsi="Calibri" w:cs="Calibri"/>
              </w:rPr>
              <w:t>In checking retailer websites, the ICRC has found that retailers have not been disclosing that the ACT has already achieved its target of 100 per cent renewable electricity target and that customers are already contributing to the costs of maintaini</w:t>
            </w:r>
            <w:r w:rsidR="1B3AB16E" w:rsidRPr="484E3B8A">
              <w:rPr>
                <w:rFonts w:ascii="Calibri" w:eastAsia="Calibri" w:hAnsi="Calibri" w:cs="Calibri"/>
              </w:rPr>
              <w:t>ng this target through their energy bills.</w:t>
            </w:r>
          </w:p>
          <w:p w14:paraId="12E7C2B4" w14:textId="302B0F3F" w:rsidR="484E3B8A" w:rsidRDefault="484E3B8A" w:rsidP="484E3B8A">
            <w:pPr>
              <w:rPr>
                <w:rFonts w:ascii="Calibri" w:eastAsia="Calibri" w:hAnsi="Calibri" w:cs="Calibri"/>
              </w:rPr>
            </w:pPr>
          </w:p>
          <w:p w14:paraId="341C75E2" w14:textId="31C73923" w:rsidR="1B3AB16E" w:rsidRDefault="1B3AB16E" w:rsidP="484E3B8A">
            <w:pPr>
              <w:rPr>
                <w:rFonts w:ascii="Calibri" w:eastAsia="Calibri" w:hAnsi="Calibri" w:cs="Calibri"/>
              </w:rPr>
            </w:pPr>
            <w:r w:rsidRPr="4AC9EDCA">
              <w:rPr>
                <w:rFonts w:ascii="Calibri" w:eastAsia="Calibri" w:hAnsi="Calibri" w:cs="Calibri"/>
              </w:rPr>
              <w:t xml:space="preserve">The </w:t>
            </w:r>
            <w:r w:rsidR="44308D1D" w:rsidRPr="00004D84">
              <w:rPr>
                <w:rFonts w:ascii="Calibri" w:eastAsia="Calibri" w:hAnsi="Calibri" w:cs="Calibri"/>
                <w:i/>
                <w:iCs/>
              </w:rPr>
              <w:t>Utilities (ACT</w:t>
            </w:r>
            <w:r w:rsidR="2DE55896" w:rsidRPr="00004D84">
              <w:rPr>
                <w:rFonts w:ascii="Calibri" w:eastAsia="Calibri" w:hAnsi="Calibri" w:cs="Calibri"/>
                <w:i/>
                <w:iCs/>
              </w:rPr>
              <w:t xml:space="preserve"> Retail Electricity – </w:t>
            </w:r>
            <w:r w:rsidRPr="00004D84">
              <w:rPr>
                <w:rFonts w:ascii="Calibri" w:eastAsia="Calibri" w:hAnsi="Calibri" w:cs="Calibri"/>
                <w:i/>
                <w:iCs/>
              </w:rPr>
              <w:t>Transparency and Comparability Code</w:t>
            </w:r>
            <w:r w:rsidR="41D59A54" w:rsidRPr="00004D84">
              <w:rPr>
                <w:rFonts w:ascii="Calibri" w:eastAsia="Calibri" w:hAnsi="Calibri" w:cs="Calibri"/>
                <w:i/>
                <w:iCs/>
              </w:rPr>
              <w:t>) Determination 2020</w:t>
            </w:r>
            <w:r w:rsidR="41D59A54" w:rsidRPr="4AC9EDCA">
              <w:rPr>
                <w:rFonts w:ascii="Calibri" w:eastAsia="Calibri" w:hAnsi="Calibri" w:cs="Calibri"/>
              </w:rPr>
              <w:t xml:space="preserve"> notes that customers are entitled to receive clear, timely, and reliable information, to assist in addressing the suitability of a retail electricity contract.</w:t>
            </w:r>
          </w:p>
          <w:p w14:paraId="02104863" w14:textId="54775B95" w:rsidR="484E3B8A" w:rsidRDefault="484E3B8A" w:rsidP="484E3B8A">
            <w:pPr>
              <w:rPr>
                <w:rFonts w:ascii="Calibri" w:eastAsia="Calibri" w:hAnsi="Calibri" w:cs="Calibri"/>
              </w:rPr>
            </w:pPr>
          </w:p>
          <w:p w14:paraId="179FE11E" w14:textId="56E06DD9" w:rsidR="00F3BA6B" w:rsidRDefault="00F3BA6B" w:rsidP="484E3B8A">
            <w:pPr>
              <w:rPr>
                <w:rFonts w:ascii="Calibri" w:eastAsia="Calibri" w:hAnsi="Calibri" w:cs="Calibri"/>
              </w:rPr>
            </w:pPr>
            <w:r w:rsidRPr="4D2CC105">
              <w:rPr>
                <w:rFonts w:ascii="Calibri" w:eastAsia="Calibri" w:hAnsi="Calibri" w:cs="Calibri"/>
              </w:rPr>
              <w:t xml:space="preserve">In response, the ICRC has written to retailers operating in the ACT to remind them of their responsibilities under the Code with respect to this issue. </w:t>
            </w:r>
          </w:p>
          <w:p w14:paraId="77A1EFBA" w14:textId="1E5B0BB5" w:rsidR="4D2CC105" w:rsidRDefault="4D2CC105" w:rsidP="4D2CC105">
            <w:pPr>
              <w:rPr>
                <w:rFonts w:ascii="Calibri" w:eastAsia="Calibri" w:hAnsi="Calibri" w:cs="Calibri"/>
              </w:rPr>
            </w:pPr>
          </w:p>
          <w:p w14:paraId="2650F283" w14:textId="1FF636A8" w:rsidR="4D2CC105" w:rsidRPr="001A3A18" w:rsidRDefault="457FEC5F" w:rsidP="4D2CC105">
            <w:pPr>
              <w:rPr>
                <w:rFonts w:ascii="Calibri" w:eastAsia="Calibri" w:hAnsi="Calibri" w:cs="Calibri"/>
                <w:u w:val="single"/>
              </w:rPr>
            </w:pPr>
            <w:r w:rsidRPr="001A3A18">
              <w:rPr>
                <w:rFonts w:ascii="Calibri" w:eastAsia="Calibri" w:hAnsi="Calibri" w:cs="Calibri"/>
                <w:u w:val="single"/>
              </w:rPr>
              <w:t xml:space="preserve">Example 2: </w:t>
            </w:r>
            <w:r w:rsidR="0C2CF099" w:rsidRPr="001A3A18">
              <w:rPr>
                <w:rFonts w:ascii="Calibri" w:eastAsia="Calibri" w:hAnsi="Calibri" w:cs="Calibri"/>
                <w:u w:val="single"/>
              </w:rPr>
              <w:t>Guaranteed service level</w:t>
            </w:r>
          </w:p>
          <w:p w14:paraId="25E4E151" w14:textId="4C39503F" w:rsidR="484E3B8A" w:rsidRDefault="484E3B8A" w:rsidP="4AC9EDCA">
            <w:pPr>
              <w:rPr>
                <w:rFonts w:ascii="Calibri" w:eastAsia="Calibri" w:hAnsi="Calibri" w:cs="Calibri"/>
              </w:rPr>
            </w:pPr>
          </w:p>
          <w:p w14:paraId="1FCD854C" w14:textId="2C1CFD22" w:rsidR="484E3B8A" w:rsidRDefault="533851E1" w:rsidP="00004D84">
            <w:pPr>
              <w:spacing w:line="259" w:lineRule="auto"/>
              <w:rPr>
                <w:rFonts w:ascii="Calibri" w:eastAsia="Calibri" w:hAnsi="Calibri" w:cs="Calibri"/>
              </w:rPr>
            </w:pPr>
            <w:r w:rsidRPr="4AC9EDCA">
              <w:rPr>
                <w:rFonts w:ascii="Calibri" w:eastAsia="Calibri" w:hAnsi="Calibri" w:cs="Calibri"/>
              </w:rPr>
              <w:t xml:space="preserve">In 2020-21, instances of guaranteed service level not being </w:t>
            </w:r>
            <w:proofErr w:type="gramStart"/>
            <w:r w:rsidRPr="4AC9EDCA">
              <w:rPr>
                <w:rFonts w:ascii="Calibri" w:eastAsia="Calibri" w:hAnsi="Calibri" w:cs="Calibri"/>
              </w:rPr>
              <w:t>met</w:t>
            </w:r>
            <w:proofErr w:type="gramEnd"/>
            <w:r w:rsidRPr="4AC9EDCA">
              <w:rPr>
                <w:rFonts w:ascii="Calibri" w:eastAsia="Calibri" w:hAnsi="Calibri" w:cs="Calibri"/>
              </w:rPr>
              <w:t xml:space="preserve"> </w:t>
            </w:r>
            <w:r w:rsidR="777A5F8F" w:rsidRPr="4AC9EDCA">
              <w:rPr>
                <w:rFonts w:ascii="Calibri" w:eastAsia="Calibri" w:hAnsi="Calibri" w:cs="Calibri"/>
              </w:rPr>
              <w:t xml:space="preserve">and rebates not being paid promptly by utilities </w:t>
            </w:r>
            <w:r w:rsidR="684D139B" w:rsidRPr="4AC9EDCA">
              <w:rPr>
                <w:rFonts w:ascii="Calibri" w:eastAsia="Calibri" w:hAnsi="Calibri" w:cs="Calibri"/>
              </w:rPr>
              <w:t>increased significantly</w:t>
            </w:r>
            <w:r w:rsidR="1677436E" w:rsidRPr="4AC9EDCA">
              <w:rPr>
                <w:rFonts w:ascii="Calibri" w:eastAsia="Calibri" w:hAnsi="Calibri" w:cs="Calibri"/>
              </w:rPr>
              <w:t xml:space="preserve">. </w:t>
            </w:r>
          </w:p>
          <w:p w14:paraId="3D4448FD" w14:textId="445E1025" w:rsidR="484E3B8A" w:rsidRDefault="484E3B8A" w:rsidP="4AC9EDCA">
            <w:pPr>
              <w:spacing w:line="259" w:lineRule="auto"/>
              <w:rPr>
                <w:rFonts w:ascii="Calibri" w:eastAsia="Calibri" w:hAnsi="Calibri" w:cs="Calibri"/>
              </w:rPr>
            </w:pPr>
          </w:p>
          <w:p w14:paraId="47B922CD" w14:textId="406BC8CD" w:rsidR="484E3B8A" w:rsidRDefault="1677436E" w:rsidP="4AC9EDCA">
            <w:pPr>
              <w:spacing w:line="259" w:lineRule="auto"/>
              <w:rPr>
                <w:rFonts w:ascii="Calibri" w:eastAsia="Calibri" w:hAnsi="Calibri" w:cs="Calibri"/>
              </w:rPr>
            </w:pPr>
            <w:r w:rsidRPr="4AC9EDCA">
              <w:rPr>
                <w:rFonts w:ascii="Calibri" w:eastAsia="Calibri" w:hAnsi="Calibri" w:cs="Calibri"/>
              </w:rPr>
              <w:t>In these circumstances, the ICRC has been leveraging its informal enforcement strate</w:t>
            </w:r>
            <w:r w:rsidR="6BCD39D7" w:rsidRPr="4AC9EDCA">
              <w:rPr>
                <w:rFonts w:ascii="Calibri" w:eastAsia="Calibri" w:hAnsi="Calibri" w:cs="Calibri"/>
              </w:rPr>
              <w:t>gies to engage with the utilities</w:t>
            </w:r>
            <w:r w:rsidR="6A0B0E73" w:rsidRPr="4AC9EDCA">
              <w:rPr>
                <w:rFonts w:ascii="Calibri" w:eastAsia="Calibri" w:hAnsi="Calibri" w:cs="Calibri"/>
              </w:rPr>
              <w:t xml:space="preserve"> to solve the issue</w:t>
            </w:r>
            <w:r w:rsidR="6BCD39D7" w:rsidRPr="4AC9EDCA">
              <w:rPr>
                <w:rFonts w:ascii="Calibri" w:eastAsia="Calibri" w:hAnsi="Calibri" w:cs="Calibri"/>
              </w:rPr>
              <w:t xml:space="preserve">, such as </w:t>
            </w:r>
            <w:r w:rsidR="64ED894C" w:rsidRPr="4AC9EDCA">
              <w:rPr>
                <w:rFonts w:ascii="Calibri" w:eastAsia="Calibri" w:hAnsi="Calibri" w:cs="Calibri"/>
              </w:rPr>
              <w:t xml:space="preserve">via </w:t>
            </w:r>
            <w:r w:rsidR="4E3AAF51" w:rsidRPr="4AC9EDCA">
              <w:rPr>
                <w:rFonts w:ascii="Calibri" w:eastAsia="Calibri" w:hAnsi="Calibri" w:cs="Calibri"/>
              </w:rPr>
              <w:t>informal meetings</w:t>
            </w:r>
            <w:r w:rsidR="06712193" w:rsidRPr="4AC9EDCA">
              <w:rPr>
                <w:rFonts w:ascii="Calibri" w:eastAsia="Calibri" w:hAnsi="Calibri" w:cs="Calibri"/>
              </w:rPr>
              <w:t>,</w:t>
            </w:r>
            <w:r w:rsidR="4E3AAF51" w:rsidRPr="4AC9EDCA">
              <w:rPr>
                <w:rFonts w:ascii="Calibri" w:eastAsia="Calibri" w:hAnsi="Calibri" w:cs="Calibri"/>
              </w:rPr>
              <w:t xml:space="preserve"> and </w:t>
            </w:r>
            <w:r w:rsidR="5A2288B3" w:rsidRPr="4AC9EDCA">
              <w:rPr>
                <w:rFonts w:ascii="Calibri" w:eastAsia="Calibri" w:hAnsi="Calibri" w:cs="Calibri"/>
              </w:rPr>
              <w:t xml:space="preserve">by </w:t>
            </w:r>
            <w:r w:rsidR="4E3AAF51" w:rsidRPr="4AC9EDCA">
              <w:rPr>
                <w:rFonts w:ascii="Calibri" w:eastAsia="Calibri" w:hAnsi="Calibri" w:cs="Calibri"/>
              </w:rPr>
              <w:t xml:space="preserve">seeking </w:t>
            </w:r>
            <w:r w:rsidR="6BCD39D7" w:rsidRPr="4AC9EDCA">
              <w:rPr>
                <w:rFonts w:ascii="Calibri" w:eastAsia="Calibri" w:hAnsi="Calibri" w:cs="Calibri"/>
              </w:rPr>
              <w:t xml:space="preserve">explanatory information and </w:t>
            </w:r>
            <w:r w:rsidR="7D3BF96F" w:rsidRPr="4AC9EDCA">
              <w:rPr>
                <w:rFonts w:ascii="Calibri" w:eastAsia="Calibri" w:hAnsi="Calibri" w:cs="Calibri"/>
              </w:rPr>
              <w:t>agreement to action plan</w:t>
            </w:r>
            <w:r w:rsidR="18E7E230" w:rsidRPr="4AC9EDCA">
              <w:rPr>
                <w:rFonts w:ascii="Calibri" w:eastAsia="Calibri" w:hAnsi="Calibri" w:cs="Calibri"/>
              </w:rPr>
              <w:t>s</w:t>
            </w:r>
            <w:r w:rsidR="7D3BF96F" w:rsidRPr="4AC9EDCA">
              <w:rPr>
                <w:rFonts w:ascii="Calibri" w:eastAsia="Calibri" w:hAnsi="Calibri" w:cs="Calibri"/>
              </w:rPr>
              <w:t>.</w:t>
            </w:r>
            <w:r w:rsidR="04E1426C" w:rsidRPr="4AC9EDCA">
              <w:rPr>
                <w:rFonts w:ascii="Calibri" w:eastAsia="Calibri" w:hAnsi="Calibri" w:cs="Calibri"/>
              </w:rPr>
              <w:t xml:space="preserve"> </w:t>
            </w:r>
          </w:p>
        </w:tc>
      </w:tr>
    </w:tbl>
    <w:p w14:paraId="16F1279C" w14:textId="77777777" w:rsidR="00E80CC3" w:rsidRDefault="00E80CC3" w:rsidP="009664A4">
      <w:pPr>
        <w:rPr>
          <w:rFonts w:ascii="Calibri" w:eastAsia="Calibri" w:hAnsi="Calibri" w:cs="Calibri"/>
        </w:rPr>
      </w:pPr>
    </w:p>
    <w:p w14:paraId="4DC88A95" w14:textId="5CBE1E78" w:rsidR="00A278C7" w:rsidRDefault="00A21E4C" w:rsidP="00E659D6">
      <w:pPr>
        <w:suppressAutoHyphens/>
        <w:rPr>
          <w:rFonts w:ascii="Calibri" w:eastAsia="SimSun" w:hAnsi="Calibri"/>
          <w:color w:val="000000"/>
          <w:lang w:eastAsia="zh-CN"/>
        </w:rPr>
      </w:pPr>
      <w:r>
        <w:rPr>
          <w:rFonts w:ascii="Calibri" w:eastAsia="SimSun" w:hAnsi="Calibri"/>
          <w:color w:val="000000" w:themeColor="text1"/>
          <w:lang w:eastAsia="zh-CN"/>
        </w:rPr>
        <w:t>The</w:t>
      </w:r>
      <w:r w:rsidR="5ED050FA" w:rsidRPr="1D8F48DA">
        <w:rPr>
          <w:rFonts w:ascii="Calibri" w:eastAsia="SimSun" w:hAnsi="Calibri"/>
          <w:color w:val="000000" w:themeColor="text1"/>
          <w:lang w:eastAsia="zh-CN"/>
        </w:rPr>
        <w:t xml:space="preserve"> ICRC seeks to</w:t>
      </w:r>
      <w:r w:rsidR="166E370F" w:rsidRPr="1D8F48DA">
        <w:rPr>
          <w:rFonts w:ascii="Calibri" w:eastAsia="SimSun" w:hAnsi="Calibri"/>
          <w:color w:val="000000" w:themeColor="text1"/>
          <w:lang w:eastAsia="zh-CN"/>
        </w:rPr>
        <w:t xml:space="preserve"> </w:t>
      </w:r>
      <w:r w:rsidR="4B0F199C" w:rsidRPr="1D8F48DA">
        <w:rPr>
          <w:rFonts w:ascii="Calibri" w:eastAsia="SimSun" w:hAnsi="Calibri"/>
          <w:color w:val="000000" w:themeColor="text1"/>
          <w:lang w:eastAsia="zh-CN"/>
        </w:rPr>
        <w:t xml:space="preserve">address failures to meet </w:t>
      </w:r>
      <w:r w:rsidR="166E370F" w:rsidRPr="1D8F48DA">
        <w:rPr>
          <w:rFonts w:ascii="Calibri" w:eastAsia="SimSun" w:hAnsi="Calibri"/>
          <w:color w:val="000000" w:themeColor="text1"/>
          <w:lang w:eastAsia="zh-CN"/>
        </w:rPr>
        <w:t>guaranteed service level obligations, such as to make new electricity connections</w:t>
      </w:r>
      <w:r w:rsidR="5A43EC05" w:rsidRPr="1D8F48DA">
        <w:rPr>
          <w:rFonts w:ascii="Calibri" w:eastAsia="SimSun" w:hAnsi="Calibri"/>
          <w:color w:val="000000" w:themeColor="text1"/>
          <w:lang w:eastAsia="zh-CN"/>
        </w:rPr>
        <w:t xml:space="preserve"> and </w:t>
      </w:r>
      <w:r w:rsidR="166E370F" w:rsidRPr="1D8F48DA">
        <w:rPr>
          <w:rFonts w:ascii="Calibri" w:eastAsia="SimSun" w:hAnsi="Calibri"/>
          <w:color w:val="000000" w:themeColor="text1"/>
          <w:lang w:eastAsia="zh-CN"/>
        </w:rPr>
        <w:t>restore power</w:t>
      </w:r>
      <w:r w:rsidR="0C2BA64C" w:rsidRPr="1D8F48DA">
        <w:rPr>
          <w:rFonts w:ascii="Calibri" w:eastAsia="SimSun" w:hAnsi="Calibri"/>
          <w:color w:val="000000" w:themeColor="text1"/>
          <w:lang w:eastAsia="zh-CN"/>
        </w:rPr>
        <w:t xml:space="preserve"> connections</w:t>
      </w:r>
      <w:r w:rsidR="36A40FD3" w:rsidRPr="1D8F48DA">
        <w:rPr>
          <w:rFonts w:ascii="Calibri" w:eastAsia="SimSun" w:hAnsi="Calibri"/>
          <w:color w:val="000000" w:themeColor="text1"/>
          <w:lang w:eastAsia="zh-CN"/>
        </w:rPr>
        <w:t xml:space="preserve"> in </w:t>
      </w:r>
      <w:r w:rsidR="166E370F" w:rsidRPr="1D8F48DA">
        <w:rPr>
          <w:rFonts w:ascii="Calibri" w:eastAsia="SimSun" w:hAnsi="Calibri"/>
          <w:color w:val="000000" w:themeColor="text1"/>
          <w:lang w:eastAsia="zh-CN"/>
        </w:rPr>
        <w:t xml:space="preserve">timely </w:t>
      </w:r>
      <w:r w:rsidR="51108CA5" w:rsidRPr="1D8F48DA">
        <w:rPr>
          <w:rFonts w:ascii="Calibri" w:eastAsia="SimSun" w:hAnsi="Calibri"/>
          <w:color w:val="000000" w:themeColor="text1"/>
          <w:lang w:eastAsia="zh-CN"/>
        </w:rPr>
        <w:t>way</w:t>
      </w:r>
      <w:r>
        <w:rPr>
          <w:rFonts w:ascii="Calibri" w:eastAsia="SimSun" w:hAnsi="Calibri"/>
          <w:color w:val="000000" w:themeColor="text1"/>
          <w:lang w:eastAsia="zh-CN"/>
        </w:rPr>
        <w:t>,</w:t>
      </w:r>
      <w:r w:rsidR="51108CA5" w:rsidRPr="1D8F48DA">
        <w:rPr>
          <w:rFonts w:ascii="Calibri" w:eastAsia="SimSun" w:hAnsi="Calibri"/>
          <w:color w:val="000000" w:themeColor="text1"/>
          <w:lang w:eastAsia="zh-CN"/>
        </w:rPr>
        <w:t xml:space="preserve"> through </w:t>
      </w:r>
      <w:r w:rsidR="00A278C7" w:rsidRPr="1D8F48DA">
        <w:rPr>
          <w:rFonts w:ascii="Calibri" w:eastAsia="SimSun" w:hAnsi="Calibri"/>
          <w:color w:val="000000" w:themeColor="text1"/>
          <w:lang w:eastAsia="zh-CN"/>
        </w:rPr>
        <w:t>informal enforcement mechanisms, such as:</w:t>
      </w:r>
    </w:p>
    <w:p w14:paraId="2179427C" w14:textId="77777777" w:rsidR="00A278C7" w:rsidRDefault="00A278C7" w:rsidP="00E659D6">
      <w:pPr>
        <w:numPr>
          <w:ilvl w:val="0"/>
          <w:numId w:val="12"/>
        </w:numPr>
        <w:suppressAutoHyphens/>
        <w:rPr>
          <w:rFonts w:ascii="Calibri" w:eastAsia="SimSun" w:hAnsi="Calibri"/>
          <w:color w:val="000000"/>
          <w:lang w:eastAsia="zh-CN"/>
        </w:rPr>
      </w:pPr>
      <w:r w:rsidRPr="003D0F36">
        <w:rPr>
          <w:rFonts w:ascii="Calibri" w:eastAsia="SimSun" w:hAnsi="Calibri"/>
          <w:color w:val="000000"/>
          <w:lang w:eastAsia="zh-CN"/>
        </w:rPr>
        <w:t>providing oral and written guidance</w:t>
      </w:r>
      <w:r>
        <w:rPr>
          <w:rFonts w:ascii="Calibri" w:eastAsia="SimSun" w:hAnsi="Calibri"/>
          <w:color w:val="000000"/>
          <w:lang w:eastAsia="zh-CN"/>
        </w:rPr>
        <w:t>;</w:t>
      </w:r>
    </w:p>
    <w:p w14:paraId="43F8460B" w14:textId="34EBB221" w:rsidR="00A278C7" w:rsidRDefault="00A278C7" w:rsidP="00E659D6">
      <w:pPr>
        <w:numPr>
          <w:ilvl w:val="0"/>
          <w:numId w:val="12"/>
        </w:numPr>
        <w:suppressAutoHyphens/>
        <w:rPr>
          <w:rFonts w:ascii="Calibri" w:eastAsia="SimSun" w:hAnsi="Calibri"/>
          <w:color w:val="000000"/>
          <w:lang w:eastAsia="zh-CN"/>
        </w:rPr>
      </w:pPr>
      <w:r w:rsidRPr="003D0F36">
        <w:rPr>
          <w:rFonts w:ascii="Calibri" w:eastAsia="SimSun" w:hAnsi="Calibri"/>
          <w:color w:val="000000"/>
          <w:lang w:eastAsia="zh-CN"/>
        </w:rPr>
        <w:t>meeting with regulated entities</w:t>
      </w:r>
      <w:r>
        <w:rPr>
          <w:rFonts w:ascii="Calibri" w:eastAsia="SimSun" w:hAnsi="Calibri"/>
          <w:color w:val="000000"/>
          <w:lang w:eastAsia="zh-CN"/>
        </w:rPr>
        <w:t>;</w:t>
      </w:r>
      <w:r w:rsidRPr="003D0F36">
        <w:rPr>
          <w:rFonts w:ascii="Calibri" w:eastAsia="SimSun" w:hAnsi="Calibri"/>
          <w:color w:val="000000"/>
          <w:lang w:eastAsia="zh-CN"/>
        </w:rPr>
        <w:t xml:space="preserve"> </w:t>
      </w:r>
      <w:r w:rsidR="002F72CC">
        <w:rPr>
          <w:rFonts w:ascii="Calibri" w:eastAsia="SimSun" w:hAnsi="Calibri"/>
          <w:color w:val="000000"/>
          <w:lang w:eastAsia="zh-CN"/>
        </w:rPr>
        <w:t>and</w:t>
      </w:r>
    </w:p>
    <w:p w14:paraId="26A3FA46" w14:textId="77777777" w:rsidR="00A278C7" w:rsidRPr="003D0F36" w:rsidRDefault="00A278C7" w:rsidP="00E659D6">
      <w:pPr>
        <w:numPr>
          <w:ilvl w:val="0"/>
          <w:numId w:val="12"/>
        </w:numPr>
        <w:suppressAutoHyphens/>
        <w:rPr>
          <w:rFonts w:ascii="Calibri" w:eastAsia="SimSun" w:hAnsi="Calibri"/>
          <w:color w:val="000000"/>
          <w:lang w:eastAsia="zh-CN"/>
        </w:rPr>
      </w:pPr>
      <w:r w:rsidRPr="003D0F36">
        <w:rPr>
          <w:rFonts w:ascii="Calibri" w:eastAsia="SimSun" w:hAnsi="Calibri"/>
          <w:color w:val="000000"/>
          <w:lang w:eastAsia="zh-CN"/>
        </w:rPr>
        <w:t>requesting regulated entities take action to remedy non-compliance.</w:t>
      </w:r>
    </w:p>
    <w:p w14:paraId="7BC526F1" w14:textId="77777777" w:rsidR="00A278C7" w:rsidRDefault="00A278C7" w:rsidP="00E659D6">
      <w:pPr>
        <w:pStyle w:val="Bullet"/>
        <w:numPr>
          <w:ilvl w:val="0"/>
          <w:numId w:val="0"/>
        </w:numPr>
        <w:spacing w:after="0" w:line="240" w:lineRule="auto"/>
        <w:rPr>
          <w:rFonts w:ascii="Calibri" w:eastAsia="Calibri" w:hAnsi="Calibri" w:cs="Calibri"/>
          <w:sz w:val="24"/>
          <w:szCs w:val="24"/>
          <w:lang w:val="en-AU"/>
        </w:rPr>
      </w:pPr>
    </w:p>
    <w:p w14:paraId="56219F0B" w14:textId="77777777" w:rsidR="002F72CC" w:rsidRDefault="002D6F92" w:rsidP="00E659D6">
      <w:pPr>
        <w:pStyle w:val="Bullet"/>
        <w:numPr>
          <w:ilvl w:val="0"/>
          <w:numId w:val="0"/>
        </w:numPr>
        <w:spacing w:after="0" w:line="240" w:lineRule="auto"/>
        <w:rPr>
          <w:rFonts w:ascii="Calibri" w:eastAsia="Calibri" w:hAnsi="Calibri" w:cs="Calibri"/>
          <w:sz w:val="24"/>
          <w:szCs w:val="24"/>
          <w:lang w:val="en-AU"/>
        </w:rPr>
      </w:pPr>
      <w:r w:rsidRPr="49FA850C">
        <w:rPr>
          <w:rFonts w:ascii="Calibri" w:eastAsia="Calibri" w:hAnsi="Calibri" w:cs="Calibri"/>
          <w:sz w:val="24"/>
          <w:szCs w:val="24"/>
          <w:lang w:val="en-AU"/>
        </w:rPr>
        <w:lastRenderedPageBreak/>
        <w:t xml:space="preserve">However, if that approach does not bring about compliance, or </w:t>
      </w:r>
      <w:r w:rsidR="00D97DBA" w:rsidRPr="49FA850C">
        <w:rPr>
          <w:rFonts w:ascii="Calibri" w:eastAsia="Calibri" w:hAnsi="Calibri" w:cs="Calibri"/>
          <w:sz w:val="24"/>
          <w:szCs w:val="24"/>
          <w:lang w:val="en-AU"/>
        </w:rPr>
        <w:t xml:space="preserve">the conduct is more serious, </w:t>
      </w:r>
      <w:r w:rsidRPr="49FA850C">
        <w:rPr>
          <w:rFonts w:ascii="Calibri" w:eastAsia="Calibri" w:hAnsi="Calibri" w:cs="Calibri"/>
          <w:sz w:val="24"/>
          <w:szCs w:val="24"/>
          <w:lang w:val="en-AU"/>
        </w:rPr>
        <w:t>t</w:t>
      </w:r>
      <w:r w:rsidR="00596767" w:rsidRPr="49FA850C">
        <w:rPr>
          <w:rFonts w:ascii="Calibri" w:eastAsia="Calibri" w:hAnsi="Calibri" w:cs="Calibri"/>
          <w:sz w:val="24"/>
          <w:szCs w:val="24"/>
          <w:lang w:val="en-AU"/>
        </w:rPr>
        <w:t xml:space="preserve">he Utilities Act provides </w:t>
      </w:r>
      <w:r w:rsidR="00D97DBA" w:rsidRPr="49FA850C">
        <w:rPr>
          <w:rFonts w:ascii="Calibri" w:eastAsia="Calibri" w:hAnsi="Calibri" w:cs="Calibri"/>
          <w:sz w:val="24"/>
          <w:szCs w:val="24"/>
          <w:lang w:val="en-AU"/>
        </w:rPr>
        <w:t xml:space="preserve">scope </w:t>
      </w:r>
      <w:r w:rsidR="00596767" w:rsidRPr="49FA850C">
        <w:rPr>
          <w:rFonts w:ascii="Calibri" w:eastAsia="Calibri" w:hAnsi="Calibri" w:cs="Calibri"/>
          <w:sz w:val="24"/>
          <w:szCs w:val="24"/>
          <w:lang w:val="en-AU"/>
        </w:rPr>
        <w:t>for criminal prosecutions, which are undertaken by the D</w:t>
      </w:r>
      <w:r w:rsidR="55F91D2D" w:rsidRPr="49FA850C">
        <w:rPr>
          <w:rFonts w:ascii="Calibri" w:eastAsia="Calibri" w:hAnsi="Calibri" w:cs="Calibri"/>
          <w:sz w:val="24"/>
          <w:szCs w:val="24"/>
          <w:lang w:val="en-AU"/>
        </w:rPr>
        <w:t xml:space="preserve">irector of </w:t>
      </w:r>
      <w:r w:rsidR="00596767" w:rsidRPr="49FA850C">
        <w:rPr>
          <w:rFonts w:ascii="Calibri" w:eastAsia="Calibri" w:hAnsi="Calibri" w:cs="Calibri"/>
          <w:sz w:val="24"/>
          <w:szCs w:val="24"/>
          <w:lang w:val="en-AU"/>
        </w:rPr>
        <w:t>P</w:t>
      </w:r>
      <w:r w:rsidR="3287BC2F" w:rsidRPr="49FA850C">
        <w:rPr>
          <w:rFonts w:ascii="Calibri" w:eastAsia="Calibri" w:hAnsi="Calibri" w:cs="Calibri"/>
          <w:sz w:val="24"/>
          <w:szCs w:val="24"/>
          <w:lang w:val="en-AU"/>
        </w:rPr>
        <w:t xml:space="preserve">ublic </w:t>
      </w:r>
      <w:r w:rsidR="00596767" w:rsidRPr="49FA850C">
        <w:rPr>
          <w:rFonts w:ascii="Calibri" w:eastAsia="Calibri" w:hAnsi="Calibri" w:cs="Calibri"/>
          <w:sz w:val="24"/>
          <w:szCs w:val="24"/>
          <w:lang w:val="en-AU"/>
        </w:rPr>
        <w:t>P</w:t>
      </w:r>
      <w:r w:rsidR="07331EFA" w:rsidRPr="49FA850C">
        <w:rPr>
          <w:rFonts w:ascii="Calibri" w:eastAsia="Calibri" w:hAnsi="Calibri" w:cs="Calibri"/>
          <w:sz w:val="24"/>
          <w:szCs w:val="24"/>
          <w:lang w:val="en-AU"/>
        </w:rPr>
        <w:t>rosecutions (DPP)</w:t>
      </w:r>
      <w:r w:rsidR="00596767" w:rsidRPr="49FA850C">
        <w:rPr>
          <w:rFonts w:ascii="Calibri" w:eastAsia="Calibri" w:hAnsi="Calibri" w:cs="Calibri"/>
          <w:sz w:val="24"/>
          <w:szCs w:val="24"/>
          <w:lang w:val="en-AU"/>
        </w:rPr>
        <w:t xml:space="preserve"> in the Supreme Court</w:t>
      </w:r>
      <w:r w:rsidR="002F72CC">
        <w:rPr>
          <w:rFonts w:ascii="Calibri" w:eastAsia="Calibri" w:hAnsi="Calibri" w:cs="Calibri"/>
          <w:sz w:val="24"/>
          <w:szCs w:val="24"/>
          <w:lang w:val="en-AU"/>
        </w:rPr>
        <w:t>.</w:t>
      </w:r>
    </w:p>
    <w:p w14:paraId="2E3E4D6F" w14:textId="77777777" w:rsidR="002F72CC" w:rsidRDefault="002F72CC" w:rsidP="00E659D6">
      <w:pPr>
        <w:pStyle w:val="Bullet"/>
        <w:numPr>
          <w:ilvl w:val="0"/>
          <w:numId w:val="0"/>
        </w:numPr>
        <w:spacing w:after="0" w:line="240" w:lineRule="auto"/>
        <w:rPr>
          <w:rFonts w:ascii="Calibri" w:eastAsia="Calibri" w:hAnsi="Calibri" w:cs="Calibri"/>
          <w:sz w:val="24"/>
          <w:szCs w:val="24"/>
          <w:lang w:val="en-AU"/>
        </w:rPr>
      </w:pPr>
    </w:p>
    <w:p w14:paraId="5C0E1283" w14:textId="50A31B80" w:rsidR="00746D22" w:rsidRDefault="00B302CC" w:rsidP="00B302CC">
      <w:pPr>
        <w:pStyle w:val="Bullet"/>
        <w:numPr>
          <w:ilvl w:val="0"/>
          <w:numId w:val="0"/>
        </w:numPr>
        <w:spacing w:after="0" w:line="240" w:lineRule="auto"/>
        <w:rPr>
          <w:rFonts w:ascii="Calibri" w:eastAsia="Calibri" w:hAnsi="Calibri" w:cs="Calibri"/>
          <w:sz w:val="24"/>
          <w:szCs w:val="24"/>
          <w:lang w:val="en-AU"/>
        </w:rPr>
      </w:pPr>
      <w:r>
        <w:rPr>
          <w:rFonts w:ascii="Calibri" w:eastAsia="Calibri" w:hAnsi="Calibri" w:cs="Calibri"/>
          <w:sz w:val="24"/>
          <w:szCs w:val="24"/>
          <w:lang w:val="en-AU"/>
        </w:rPr>
        <w:t>For a</w:t>
      </w:r>
      <w:r w:rsidR="00596767" w:rsidRPr="49FA850C">
        <w:rPr>
          <w:rFonts w:ascii="Calibri" w:eastAsia="Calibri" w:hAnsi="Calibri" w:cs="Calibri"/>
          <w:sz w:val="24"/>
          <w:szCs w:val="24"/>
          <w:lang w:val="en-AU"/>
        </w:rPr>
        <w:t xml:space="preserve"> </w:t>
      </w:r>
      <w:r w:rsidR="00746D22" w:rsidRPr="00B302CC">
        <w:rPr>
          <w:rFonts w:ascii="Calibri" w:eastAsia="Calibri" w:hAnsi="Calibri" w:cs="Calibri"/>
          <w:sz w:val="24"/>
          <w:szCs w:val="24"/>
          <w:lang w:val="en-AU"/>
        </w:rPr>
        <w:t>breach</w:t>
      </w:r>
      <w:r w:rsidR="00596767" w:rsidRPr="00B302CC">
        <w:rPr>
          <w:rFonts w:ascii="Calibri" w:eastAsia="Calibri" w:hAnsi="Calibri" w:cs="Calibri"/>
          <w:sz w:val="24"/>
          <w:szCs w:val="24"/>
          <w:lang w:val="en-AU"/>
        </w:rPr>
        <w:t xml:space="preserve"> of</w:t>
      </w:r>
      <w:r w:rsidR="00746D22" w:rsidRPr="00B302CC">
        <w:rPr>
          <w:rFonts w:ascii="Calibri" w:eastAsia="Calibri" w:hAnsi="Calibri" w:cs="Calibri"/>
          <w:sz w:val="24"/>
          <w:szCs w:val="24"/>
          <w:lang w:val="en-AU"/>
        </w:rPr>
        <w:t xml:space="preserve"> a licence condition or contravening an industry code</w:t>
      </w:r>
      <w:r w:rsidR="00596767" w:rsidRPr="00B302CC">
        <w:rPr>
          <w:rFonts w:ascii="Calibri" w:eastAsia="Calibri" w:hAnsi="Calibri" w:cs="Calibri"/>
          <w:sz w:val="24"/>
          <w:szCs w:val="24"/>
          <w:lang w:val="en-AU"/>
        </w:rPr>
        <w:t xml:space="preserve"> by a utility</w:t>
      </w:r>
      <w:r>
        <w:rPr>
          <w:rFonts w:ascii="Calibri" w:eastAsia="Calibri" w:hAnsi="Calibri" w:cs="Calibri"/>
          <w:sz w:val="24"/>
          <w:szCs w:val="24"/>
          <w:lang w:val="en-AU"/>
        </w:rPr>
        <w:t>,</w:t>
      </w:r>
      <w:r w:rsidR="00746D22" w:rsidRPr="00B302CC">
        <w:rPr>
          <w:rFonts w:ascii="Calibri" w:eastAsia="Calibri" w:hAnsi="Calibri" w:cs="Calibri"/>
          <w:sz w:val="24"/>
          <w:szCs w:val="24"/>
          <w:lang w:val="en-AU"/>
        </w:rPr>
        <w:t xml:space="preserve"> </w:t>
      </w:r>
      <w:r w:rsidR="00596767" w:rsidRPr="00B302CC">
        <w:rPr>
          <w:rFonts w:ascii="Calibri" w:eastAsia="Calibri" w:hAnsi="Calibri" w:cs="Calibri"/>
          <w:sz w:val="24"/>
          <w:szCs w:val="24"/>
          <w:lang w:val="en-AU"/>
        </w:rPr>
        <w:t xml:space="preserve">the Court may suspend or revoke the licence and additionally may impose a </w:t>
      </w:r>
      <w:r w:rsidR="00746D22" w:rsidRPr="00B302CC">
        <w:rPr>
          <w:rFonts w:ascii="Calibri" w:eastAsia="Calibri" w:hAnsi="Calibri" w:cs="Calibri"/>
          <w:sz w:val="24"/>
          <w:szCs w:val="24"/>
          <w:lang w:val="en-AU"/>
        </w:rPr>
        <w:t>maxim</w:t>
      </w:r>
      <w:r w:rsidR="00596767" w:rsidRPr="00B302CC">
        <w:rPr>
          <w:rFonts w:ascii="Calibri" w:eastAsia="Calibri" w:hAnsi="Calibri" w:cs="Calibri"/>
          <w:sz w:val="24"/>
          <w:szCs w:val="24"/>
          <w:lang w:val="en-AU"/>
        </w:rPr>
        <w:t>um fine of $2,430,000</w:t>
      </w:r>
      <w:r w:rsidR="00746D22" w:rsidRPr="00B302CC">
        <w:rPr>
          <w:rFonts w:ascii="Calibri" w:eastAsia="Calibri" w:hAnsi="Calibri" w:cs="Calibri"/>
          <w:sz w:val="24"/>
          <w:szCs w:val="24"/>
          <w:lang w:val="en-AU"/>
        </w:rPr>
        <w:t xml:space="preserve"> </w:t>
      </w:r>
      <w:r w:rsidR="00596767" w:rsidRPr="00B302CC">
        <w:rPr>
          <w:rFonts w:ascii="Calibri" w:eastAsia="Calibri" w:hAnsi="Calibri" w:cs="Calibri"/>
          <w:sz w:val="24"/>
          <w:szCs w:val="24"/>
          <w:lang w:val="en-AU"/>
        </w:rPr>
        <w:t>(</w:t>
      </w:r>
      <w:r w:rsidR="00746D22" w:rsidRPr="00B302CC">
        <w:rPr>
          <w:rFonts w:ascii="Calibri" w:eastAsia="Calibri" w:hAnsi="Calibri" w:cs="Calibri"/>
          <w:sz w:val="24"/>
          <w:szCs w:val="24"/>
          <w:lang w:val="en-AU"/>
        </w:rPr>
        <w:t>3000 penalty units</w:t>
      </w:r>
      <w:r w:rsidR="00596767" w:rsidRPr="00B302CC">
        <w:rPr>
          <w:rFonts w:ascii="Calibri" w:eastAsia="Calibri" w:hAnsi="Calibri" w:cs="Calibri"/>
          <w:sz w:val="24"/>
          <w:szCs w:val="24"/>
          <w:lang w:val="en-AU"/>
        </w:rPr>
        <w:t>)</w:t>
      </w:r>
      <w:r w:rsidR="00746D22" w:rsidRPr="00B302CC">
        <w:rPr>
          <w:rFonts w:ascii="Calibri" w:eastAsia="Calibri" w:hAnsi="Calibri" w:cs="Calibri"/>
          <w:sz w:val="24"/>
          <w:szCs w:val="24"/>
          <w:lang w:val="en-AU"/>
        </w:rPr>
        <w:t xml:space="preserve">, and </w:t>
      </w:r>
      <w:r w:rsidR="00D10F11">
        <w:rPr>
          <w:rFonts w:ascii="Calibri" w:eastAsia="Calibri" w:hAnsi="Calibri" w:cs="Calibri"/>
          <w:sz w:val="24"/>
          <w:szCs w:val="24"/>
          <w:lang w:val="en-AU"/>
        </w:rPr>
        <w:t xml:space="preserve">if the </w:t>
      </w:r>
      <w:r w:rsidR="003908D0">
        <w:rPr>
          <w:rFonts w:ascii="Calibri" w:eastAsia="Calibri" w:hAnsi="Calibri" w:cs="Calibri"/>
          <w:sz w:val="24"/>
          <w:szCs w:val="24"/>
          <w:lang w:val="en-AU"/>
        </w:rPr>
        <w:t>contravention continues</w:t>
      </w:r>
      <w:r w:rsidR="00C63B5D">
        <w:rPr>
          <w:rFonts w:ascii="Calibri" w:eastAsia="Calibri" w:hAnsi="Calibri" w:cs="Calibri"/>
          <w:sz w:val="24"/>
          <w:szCs w:val="24"/>
          <w:lang w:val="en-AU"/>
        </w:rPr>
        <w:t xml:space="preserve">, </w:t>
      </w:r>
      <w:r w:rsidR="00DF3B89">
        <w:rPr>
          <w:rFonts w:ascii="Calibri" w:eastAsia="Calibri" w:hAnsi="Calibri" w:cs="Calibri"/>
          <w:sz w:val="24"/>
          <w:szCs w:val="24"/>
          <w:lang w:val="en-AU"/>
        </w:rPr>
        <w:t xml:space="preserve">up to </w:t>
      </w:r>
      <w:r w:rsidR="00596767" w:rsidRPr="00B302CC">
        <w:rPr>
          <w:rFonts w:ascii="Calibri" w:eastAsia="Calibri" w:hAnsi="Calibri" w:cs="Calibri"/>
          <w:sz w:val="24"/>
          <w:szCs w:val="24"/>
          <w:lang w:val="en-AU"/>
        </w:rPr>
        <w:t>$486,000 (</w:t>
      </w:r>
      <w:r w:rsidR="00746D22" w:rsidRPr="00B302CC">
        <w:rPr>
          <w:rFonts w:ascii="Calibri" w:eastAsia="Calibri" w:hAnsi="Calibri" w:cs="Calibri"/>
          <w:sz w:val="24"/>
          <w:szCs w:val="24"/>
          <w:lang w:val="en-AU"/>
        </w:rPr>
        <w:t>600 penalty units</w:t>
      </w:r>
      <w:r w:rsidR="00596767" w:rsidRPr="00B302CC">
        <w:rPr>
          <w:rFonts w:ascii="Calibri" w:eastAsia="Calibri" w:hAnsi="Calibri" w:cs="Calibri"/>
          <w:sz w:val="24"/>
          <w:szCs w:val="24"/>
          <w:lang w:val="en-AU"/>
        </w:rPr>
        <w:t>)</w:t>
      </w:r>
      <w:r w:rsidR="00746D22" w:rsidRPr="00B302CC">
        <w:rPr>
          <w:rFonts w:ascii="Calibri" w:eastAsia="Calibri" w:hAnsi="Calibri" w:cs="Calibri"/>
          <w:sz w:val="24"/>
          <w:szCs w:val="24"/>
          <w:lang w:val="en-AU"/>
        </w:rPr>
        <w:t xml:space="preserve"> for each day the utility continues to be in breach</w:t>
      </w:r>
      <w:r w:rsidR="3DA67B25" w:rsidRPr="00B302CC">
        <w:rPr>
          <w:rFonts w:ascii="Calibri" w:eastAsia="Calibri" w:hAnsi="Calibri" w:cs="Calibri"/>
          <w:sz w:val="24"/>
          <w:szCs w:val="24"/>
          <w:lang w:val="en-AU"/>
        </w:rPr>
        <w:t>;</w:t>
      </w:r>
      <w:r w:rsidR="0031765D">
        <w:rPr>
          <w:rStyle w:val="FootnoteReference"/>
          <w:rFonts w:ascii="Calibri" w:eastAsia="Calibri" w:hAnsi="Calibri" w:cs="Calibri"/>
          <w:sz w:val="24"/>
          <w:szCs w:val="24"/>
          <w:lang w:val="en-AU"/>
        </w:rPr>
        <w:footnoteReference w:id="2"/>
      </w:r>
    </w:p>
    <w:p w14:paraId="69F8F81C" w14:textId="77777777" w:rsidR="00B302CC" w:rsidRPr="00B302CC" w:rsidRDefault="00B302CC" w:rsidP="00B302CC">
      <w:pPr>
        <w:pStyle w:val="Bullet"/>
        <w:numPr>
          <w:ilvl w:val="0"/>
          <w:numId w:val="0"/>
        </w:numPr>
        <w:spacing w:after="0" w:line="240" w:lineRule="auto"/>
        <w:rPr>
          <w:rFonts w:ascii="Calibri" w:eastAsia="Calibri" w:hAnsi="Calibri" w:cs="Calibri"/>
          <w:sz w:val="24"/>
          <w:szCs w:val="24"/>
          <w:lang w:val="en-AU"/>
        </w:rPr>
      </w:pPr>
    </w:p>
    <w:p w14:paraId="22E91B89" w14:textId="3B39A7A3" w:rsidR="002D6F92" w:rsidRPr="00B302CC" w:rsidRDefault="002D6D2C" w:rsidP="00B302CC">
      <w:pPr>
        <w:pStyle w:val="Bullet"/>
        <w:numPr>
          <w:ilvl w:val="0"/>
          <w:numId w:val="0"/>
        </w:numPr>
        <w:spacing w:after="0" w:line="240" w:lineRule="auto"/>
        <w:rPr>
          <w:rFonts w:ascii="Calibri" w:eastAsia="Calibri" w:hAnsi="Calibri" w:cs="Calibri"/>
          <w:sz w:val="24"/>
          <w:szCs w:val="24"/>
          <w:lang w:val="en-AU"/>
        </w:rPr>
      </w:pPr>
      <w:r>
        <w:rPr>
          <w:rFonts w:ascii="Calibri" w:eastAsia="Calibri" w:hAnsi="Calibri" w:cs="Calibri"/>
          <w:sz w:val="24"/>
          <w:szCs w:val="24"/>
          <w:lang w:val="en-AU"/>
        </w:rPr>
        <w:t xml:space="preserve">For a </w:t>
      </w:r>
      <w:r w:rsidR="00746D22" w:rsidRPr="00B302CC">
        <w:rPr>
          <w:rFonts w:ascii="Calibri" w:eastAsia="Calibri" w:hAnsi="Calibri" w:cs="Calibri"/>
          <w:sz w:val="24"/>
          <w:szCs w:val="24"/>
          <w:lang w:val="en-AU"/>
        </w:rPr>
        <w:t>contravention of an industry code</w:t>
      </w:r>
      <w:r w:rsidR="00596767" w:rsidRPr="00B302CC">
        <w:rPr>
          <w:rFonts w:ascii="Calibri" w:eastAsia="Calibri" w:hAnsi="Calibri" w:cs="Calibri"/>
          <w:sz w:val="24"/>
          <w:szCs w:val="24"/>
          <w:lang w:val="en-AU"/>
        </w:rPr>
        <w:t xml:space="preserve"> by a retailer</w:t>
      </w:r>
      <w:r>
        <w:rPr>
          <w:rFonts w:ascii="Calibri" w:eastAsia="Calibri" w:hAnsi="Calibri" w:cs="Calibri"/>
          <w:sz w:val="24"/>
          <w:szCs w:val="24"/>
          <w:lang w:val="en-AU"/>
        </w:rPr>
        <w:t>,</w:t>
      </w:r>
      <w:r w:rsidR="00596767" w:rsidRPr="00B302CC">
        <w:rPr>
          <w:rFonts w:ascii="Calibri" w:eastAsia="Calibri" w:hAnsi="Calibri" w:cs="Calibri"/>
          <w:sz w:val="24"/>
          <w:szCs w:val="24"/>
          <w:lang w:val="en-AU"/>
        </w:rPr>
        <w:t xml:space="preserve"> the Court may impose a maximum fine of $2,430,000 (3000 penalty units), and</w:t>
      </w:r>
      <w:r w:rsidR="00452E09">
        <w:rPr>
          <w:rFonts w:ascii="Calibri" w:eastAsia="Calibri" w:hAnsi="Calibri" w:cs="Calibri"/>
          <w:sz w:val="24"/>
          <w:szCs w:val="24"/>
          <w:lang w:val="en-AU"/>
        </w:rPr>
        <w:t xml:space="preserve"> if the contravention continues, up to</w:t>
      </w:r>
      <w:r w:rsidR="00596767" w:rsidRPr="00B302CC">
        <w:rPr>
          <w:rFonts w:ascii="Calibri" w:eastAsia="Calibri" w:hAnsi="Calibri" w:cs="Calibri"/>
          <w:sz w:val="24"/>
          <w:szCs w:val="24"/>
          <w:lang w:val="en-AU"/>
        </w:rPr>
        <w:t xml:space="preserve"> $486,000 (600 penalty units) for each day the retailer continues to be in breach.</w:t>
      </w:r>
    </w:p>
    <w:p w14:paraId="63D2187B" w14:textId="77777777" w:rsidR="002D6F92" w:rsidRDefault="002D6F92" w:rsidP="00E659D6">
      <w:pPr>
        <w:pStyle w:val="Bullet1"/>
        <w:numPr>
          <w:ilvl w:val="0"/>
          <w:numId w:val="0"/>
        </w:numPr>
        <w:spacing w:before="0" w:after="0" w:line="240" w:lineRule="auto"/>
        <w:rPr>
          <w:rFonts w:eastAsia="Calibri" w:cs="Calibri"/>
          <w:color w:val="auto"/>
          <w:sz w:val="24"/>
          <w:szCs w:val="24"/>
          <w:lang w:eastAsia="en-US"/>
        </w:rPr>
      </w:pPr>
    </w:p>
    <w:p w14:paraId="0E020BFD" w14:textId="77777777" w:rsidR="002D6F92" w:rsidRDefault="002D6F92" w:rsidP="00570484">
      <w:pPr>
        <w:pStyle w:val="Bullet1"/>
        <w:numPr>
          <w:ilvl w:val="0"/>
          <w:numId w:val="0"/>
        </w:numPr>
        <w:spacing w:before="0" w:after="0" w:line="240" w:lineRule="auto"/>
        <w:rPr>
          <w:rFonts w:eastAsia="Calibri" w:cs="Calibri"/>
          <w:color w:val="auto"/>
          <w:sz w:val="24"/>
          <w:szCs w:val="24"/>
          <w:lang w:eastAsia="en-US"/>
        </w:rPr>
      </w:pPr>
      <w:r>
        <w:rPr>
          <w:rFonts w:eastAsia="Calibri" w:cs="Calibri"/>
          <w:color w:val="auto"/>
          <w:sz w:val="24"/>
          <w:szCs w:val="24"/>
          <w:lang w:eastAsia="en-US"/>
        </w:rPr>
        <w:t xml:space="preserve">No criminal prosecutions have been initiated under the Utilities Act. </w:t>
      </w:r>
    </w:p>
    <w:p w14:paraId="7F92B290" w14:textId="77777777" w:rsidR="00570484" w:rsidRDefault="00570484" w:rsidP="00E659D6">
      <w:pPr>
        <w:pStyle w:val="Bullet1"/>
        <w:numPr>
          <w:ilvl w:val="0"/>
          <w:numId w:val="0"/>
        </w:numPr>
        <w:spacing w:before="0" w:after="0" w:line="240" w:lineRule="auto"/>
        <w:rPr>
          <w:rFonts w:eastAsia="Calibri" w:cs="Calibri"/>
          <w:color w:val="auto"/>
          <w:sz w:val="24"/>
          <w:szCs w:val="24"/>
          <w:lang w:eastAsia="en-US"/>
        </w:rPr>
      </w:pPr>
    </w:p>
    <w:p w14:paraId="39D92D5B" w14:textId="6357B27E" w:rsidR="006079B6" w:rsidRPr="009664A4" w:rsidRDefault="002D6F92" w:rsidP="009664A4">
      <w:pPr>
        <w:rPr>
          <w:rFonts w:asciiTheme="minorHAnsi" w:hAnsiTheme="minorHAnsi" w:cstheme="minorHAnsi"/>
          <w:b/>
          <w:bCs/>
          <w:i/>
          <w:iCs/>
        </w:rPr>
      </w:pPr>
      <w:r w:rsidRPr="009664A4">
        <w:rPr>
          <w:rFonts w:asciiTheme="minorHAnsi" w:hAnsiTheme="minorHAnsi" w:cstheme="minorHAnsi"/>
        </w:rPr>
        <w:t xml:space="preserve">The ICRC can also issue a written direction to a utility provider or </w:t>
      </w:r>
      <w:r w:rsidR="004436AC" w:rsidRPr="009664A4">
        <w:rPr>
          <w:rFonts w:asciiTheme="minorHAnsi" w:hAnsiTheme="minorHAnsi" w:cstheme="minorHAnsi"/>
        </w:rPr>
        <w:t>energy</w:t>
      </w:r>
      <w:r w:rsidRPr="009664A4">
        <w:rPr>
          <w:rFonts w:asciiTheme="minorHAnsi" w:hAnsiTheme="minorHAnsi" w:cstheme="minorHAnsi"/>
        </w:rPr>
        <w:t xml:space="preserve"> retailer</w:t>
      </w:r>
      <w:r w:rsidR="00396EC2">
        <w:rPr>
          <w:rFonts w:asciiTheme="minorHAnsi" w:hAnsiTheme="minorHAnsi" w:cstheme="minorHAnsi"/>
        </w:rPr>
        <w:t xml:space="preserve"> </w:t>
      </w:r>
      <w:r w:rsidRPr="009664A4">
        <w:rPr>
          <w:rFonts w:asciiTheme="minorHAnsi" w:hAnsiTheme="minorHAnsi" w:cstheme="minorHAnsi"/>
        </w:rPr>
        <w:t xml:space="preserve">after a period of consultation with the entity. </w:t>
      </w:r>
      <w:r w:rsidR="006079B6" w:rsidRPr="009664A4">
        <w:rPr>
          <w:rFonts w:asciiTheme="minorHAnsi" w:hAnsiTheme="minorHAnsi" w:cstheme="minorHAnsi"/>
        </w:rPr>
        <w:t>However, t</w:t>
      </w:r>
      <w:r w:rsidRPr="009664A4">
        <w:rPr>
          <w:rFonts w:asciiTheme="minorHAnsi" w:hAnsiTheme="minorHAnsi" w:cstheme="minorHAnsi"/>
        </w:rPr>
        <w:t xml:space="preserve">his power has not been exercised </w:t>
      </w:r>
      <w:r w:rsidR="006079B6" w:rsidRPr="009664A4">
        <w:rPr>
          <w:rFonts w:asciiTheme="minorHAnsi" w:hAnsiTheme="minorHAnsi" w:cstheme="minorHAnsi"/>
        </w:rPr>
        <w:t>as it</w:t>
      </w:r>
      <w:r w:rsidR="00320D23" w:rsidRPr="009664A4">
        <w:rPr>
          <w:rFonts w:asciiTheme="minorHAnsi" w:hAnsiTheme="minorHAnsi" w:cstheme="minorHAnsi"/>
        </w:rPr>
        <w:t xml:space="preserve"> effectively</w:t>
      </w:r>
      <w:r w:rsidR="006079B6" w:rsidRPr="009664A4">
        <w:rPr>
          <w:rFonts w:asciiTheme="minorHAnsi" w:hAnsiTheme="minorHAnsi" w:cstheme="minorHAnsi"/>
        </w:rPr>
        <w:t xml:space="preserve"> r</w:t>
      </w:r>
      <w:r w:rsidRPr="009664A4">
        <w:rPr>
          <w:rFonts w:asciiTheme="minorHAnsi" w:hAnsiTheme="minorHAnsi" w:cstheme="minorHAnsi"/>
        </w:rPr>
        <w:t>equir</w:t>
      </w:r>
      <w:r w:rsidR="006079B6" w:rsidRPr="009664A4">
        <w:rPr>
          <w:rFonts w:asciiTheme="minorHAnsi" w:hAnsiTheme="minorHAnsi" w:cstheme="minorHAnsi"/>
        </w:rPr>
        <w:t>es a criminal prosecution to be</w:t>
      </w:r>
      <w:r w:rsidR="00320D23" w:rsidRPr="009664A4">
        <w:rPr>
          <w:rFonts w:asciiTheme="minorHAnsi" w:hAnsiTheme="minorHAnsi" w:cstheme="minorHAnsi"/>
        </w:rPr>
        <w:t xml:space="preserve"> ready</w:t>
      </w:r>
      <w:r w:rsidR="00BF6ED9" w:rsidRPr="009664A4">
        <w:rPr>
          <w:rFonts w:asciiTheme="minorHAnsi" w:hAnsiTheme="minorHAnsi" w:cstheme="minorHAnsi"/>
        </w:rPr>
        <w:t xml:space="preserve"> to be instituted</w:t>
      </w:r>
      <w:r w:rsidR="006079B6" w:rsidRPr="009664A4">
        <w:rPr>
          <w:rFonts w:asciiTheme="minorHAnsi" w:hAnsiTheme="minorHAnsi" w:cstheme="minorHAnsi"/>
        </w:rPr>
        <w:t xml:space="preserve"> before the direction is issued.</w:t>
      </w:r>
      <w:r w:rsidR="002D6D2C" w:rsidRPr="002D6D2C">
        <w:rPr>
          <w:rFonts w:asciiTheme="minorHAnsi" w:hAnsiTheme="minorHAnsi" w:cstheme="minorHAnsi"/>
        </w:rPr>
        <w:t xml:space="preserve"> </w:t>
      </w:r>
      <w:r w:rsidR="002D6D2C">
        <w:rPr>
          <w:rFonts w:asciiTheme="minorHAnsi" w:hAnsiTheme="minorHAnsi" w:cstheme="minorHAnsi"/>
        </w:rPr>
        <w:t xml:space="preserve">This is </w:t>
      </w:r>
      <w:r w:rsidR="002D6D2C" w:rsidRPr="009664A4">
        <w:rPr>
          <w:rFonts w:asciiTheme="minorHAnsi" w:hAnsiTheme="minorHAnsi" w:cstheme="minorHAnsi"/>
        </w:rPr>
        <w:t>unsuitable to address small to medium level contraventions</w:t>
      </w:r>
      <w:r w:rsidR="002D6D2C">
        <w:rPr>
          <w:rFonts w:asciiTheme="minorHAnsi" w:hAnsiTheme="minorHAnsi" w:cstheme="minorHAnsi"/>
        </w:rPr>
        <w:t>.</w:t>
      </w:r>
    </w:p>
    <w:p w14:paraId="5BADDD64" w14:textId="03928E33" w:rsidR="002D6F92" w:rsidRPr="009664A4" w:rsidRDefault="006079B6" w:rsidP="009664A4">
      <w:pPr>
        <w:pStyle w:val="ListParagraph"/>
        <w:numPr>
          <w:ilvl w:val="0"/>
          <w:numId w:val="22"/>
        </w:numPr>
        <w:rPr>
          <w:rFonts w:asciiTheme="minorHAnsi" w:hAnsiTheme="minorHAnsi" w:cstheme="minorHAnsi"/>
          <w:b/>
          <w:bCs/>
          <w:i/>
          <w:iCs/>
        </w:rPr>
      </w:pPr>
      <w:r w:rsidRPr="009664A4">
        <w:rPr>
          <w:rFonts w:asciiTheme="minorHAnsi" w:hAnsiTheme="minorHAnsi" w:cstheme="minorHAnsi"/>
        </w:rPr>
        <w:t xml:space="preserve">This practical limitation arises as </w:t>
      </w:r>
      <w:r w:rsidR="002D6F92" w:rsidRPr="009664A4">
        <w:rPr>
          <w:rFonts w:asciiTheme="minorHAnsi" w:hAnsiTheme="minorHAnsi" w:cstheme="minorHAnsi"/>
        </w:rPr>
        <w:t xml:space="preserve">the ICRC </w:t>
      </w:r>
      <w:r w:rsidR="002251B0">
        <w:rPr>
          <w:rFonts w:asciiTheme="minorHAnsi" w:hAnsiTheme="minorHAnsi" w:cstheme="minorHAnsi"/>
        </w:rPr>
        <w:t>must</w:t>
      </w:r>
      <w:r w:rsidR="002D6F92" w:rsidRPr="009664A4">
        <w:rPr>
          <w:rFonts w:asciiTheme="minorHAnsi" w:hAnsiTheme="minorHAnsi" w:cstheme="minorHAnsi"/>
        </w:rPr>
        <w:t xml:space="preserve"> </w:t>
      </w:r>
      <w:r w:rsidR="002251B0">
        <w:rPr>
          <w:rFonts w:asciiTheme="minorHAnsi" w:hAnsiTheme="minorHAnsi" w:cstheme="minorHAnsi"/>
        </w:rPr>
        <w:t xml:space="preserve">have </w:t>
      </w:r>
      <w:r w:rsidR="002D6F92" w:rsidRPr="009664A4">
        <w:rPr>
          <w:rFonts w:asciiTheme="minorHAnsi" w:hAnsiTheme="minorHAnsi" w:cstheme="minorHAnsi"/>
        </w:rPr>
        <w:t>evidence to sustain a criminal prosecution</w:t>
      </w:r>
      <w:r w:rsidR="002251B0">
        <w:rPr>
          <w:rFonts w:asciiTheme="minorHAnsi" w:hAnsiTheme="minorHAnsi" w:cstheme="minorHAnsi"/>
        </w:rPr>
        <w:t xml:space="preserve"> (</w:t>
      </w:r>
      <w:proofErr w:type="gramStart"/>
      <w:r w:rsidR="002251B0">
        <w:rPr>
          <w:rFonts w:asciiTheme="minorHAnsi" w:hAnsiTheme="minorHAnsi" w:cstheme="minorHAnsi"/>
        </w:rPr>
        <w:t>i.e.</w:t>
      </w:r>
      <w:proofErr w:type="gramEnd"/>
      <w:r w:rsidR="002251B0">
        <w:rPr>
          <w:rFonts w:asciiTheme="minorHAnsi" w:hAnsiTheme="minorHAnsi" w:cstheme="minorHAnsi"/>
        </w:rPr>
        <w:t xml:space="preserve"> beyond reasonable doubt). Once </w:t>
      </w:r>
      <w:r w:rsidRPr="009664A4">
        <w:rPr>
          <w:rFonts w:asciiTheme="minorHAnsi" w:hAnsiTheme="minorHAnsi" w:cstheme="minorHAnsi"/>
        </w:rPr>
        <w:t xml:space="preserve">the direction is issued, </w:t>
      </w:r>
      <w:r w:rsidR="002D6F92" w:rsidRPr="009664A4">
        <w:rPr>
          <w:rFonts w:asciiTheme="minorHAnsi" w:hAnsiTheme="minorHAnsi" w:cstheme="minorHAnsi"/>
        </w:rPr>
        <w:t xml:space="preserve">the entity can refuse to comply. At that point, the DPP would need to undertake a prosecution for </w:t>
      </w:r>
      <w:r w:rsidR="00D0502D" w:rsidRPr="009664A4">
        <w:rPr>
          <w:rFonts w:asciiTheme="minorHAnsi" w:hAnsiTheme="minorHAnsi" w:cstheme="minorHAnsi"/>
        </w:rPr>
        <w:t xml:space="preserve">alleged </w:t>
      </w:r>
      <w:r w:rsidR="002D6F92" w:rsidRPr="009664A4">
        <w:rPr>
          <w:rFonts w:asciiTheme="minorHAnsi" w:hAnsiTheme="minorHAnsi" w:cstheme="minorHAnsi"/>
        </w:rPr>
        <w:t xml:space="preserve">contravention which the direction sought to correct. </w:t>
      </w:r>
    </w:p>
    <w:p w14:paraId="38131D4B" w14:textId="48C2816C" w:rsidR="00D0502D" w:rsidRPr="009664A4" w:rsidRDefault="0DE8BE5E" w:rsidP="2F00E841">
      <w:pPr>
        <w:pStyle w:val="ListParagraph"/>
        <w:numPr>
          <w:ilvl w:val="0"/>
          <w:numId w:val="22"/>
        </w:numPr>
        <w:rPr>
          <w:rFonts w:asciiTheme="minorHAnsi" w:hAnsiTheme="minorHAnsi" w:cstheme="minorBidi"/>
        </w:rPr>
      </w:pPr>
      <w:r w:rsidRPr="2F00E841">
        <w:rPr>
          <w:rFonts w:asciiTheme="minorHAnsi" w:hAnsiTheme="minorHAnsi" w:cstheme="minorBidi"/>
        </w:rPr>
        <w:t>The Court may impose a maximum fine of $1,620,000 (2</w:t>
      </w:r>
      <w:r w:rsidR="6EF3CB60" w:rsidRPr="2F00E841">
        <w:rPr>
          <w:rFonts w:asciiTheme="minorHAnsi" w:hAnsiTheme="minorHAnsi" w:cstheme="minorBidi"/>
        </w:rPr>
        <w:t>,</w:t>
      </w:r>
      <w:r w:rsidRPr="2F00E841">
        <w:rPr>
          <w:rFonts w:asciiTheme="minorHAnsi" w:hAnsiTheme="minorHAnsi" w:cstheme="minorBidi"/>
        </w:rPr>
        <w:t xml:space="preserve">000 </w:t>
      </w:r>
      <w:r w:rsidR="5E982A30" w:rsidRPr="2F00E841">
        <w:rPr>
          <w:rFonts w:asciiTheme="minorHAnsi" w:hAnsiTheme="minorHAnsi" w:cstheme="minorBidi"/>
        </w:rPr>
        <w:t>penalty</w:t>
      </w:r>
      <w:r w:rsidRPr="2F00E841">
        <w:rPr>
          <w:rFonts w:asciiTheme="minorHAnsi" w:hAnsiTheme="minorHAnsi" w:cstheme="minorBidi"/>
        </w:rPr>
        <w:t xml:space="preserve"> units) for failure to comply with a lawful direction of the ICRC.</w:t>
      </w:r>
    </w:p>
    <w:p w14:paraId="66EF0A81" w14:textId="766B0AB6" w:rsidR="28161178" w:rsidRDefault="28161178" w:rsidP="2F00E841"/>
    <w:tbl>
      <w:tblPr>
        <w:tblStyle w:val="TableGrid"/>
        <w:tblW w:w="0" w:type="auto"/>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D9D9D9" w:themeColor="background1" w:themeShade="D9"/>
          <w:insideV w:val="single" w:sz="4" w:space="0" w:color="D9D9D9" w:themeColor="background1" w:themeShade="D9"/>
        </w:tblBorders>
        <w:tblLayout w:type="fixed"/>
        <w:tblLook w:val="06A0" w:firstRow="1" w:lastRow="0" w:firstColumn="1" w:lastColumn="0" w:noHBand="1" w:noVBand="1"/>
      </w:tblPr>
      <w:tblGrid>
        <w:gridCol w:w="9015"/>
      </w:tblGrid>
      <w:tr w:rsidR="28161178" w14:paraId="0D573C62" w14:textId="77777777" w:rsidTr="709F9D89">
        <w:trPr>
          <w:trHeight w:val="300"/>
        </w:trPr>
        <w:tc>
          <w:tcPr>
            <w:tcW w:w="9015" w:type="dxa"/>
            <w:shd w:val="clear" w:color="auto" w:fill="D9D9D9" w:themeFill="background1" w:themeFillShade="D9"/>
          </w:tcPr>
          <w:p w14:paraId="32DD254D" w14:textId="77777777" w:rsidR="00D40D8A" w:rsidRDefault="00D40D8A" w:rsidP="709F9D89">
            <w:pPr>
              <w:rPr>
                <w:rFonts w:asciiTheme="minorHAnsi" w:eastAsiaTheme="minorEastAsia" w:hAnsiTheme="minorHAnsi" w:cstheme="minorBidi"/>
                <w:b/>
                <w:bCs/>
              </w:rPr>
            </w:pPr>
          </w:p>
          <w:p w14:paraId="6FBABF2B" w14:textId="610352BD" w:rsidR="28161178" w:rsidRPr="00D40D8A" w:rsidRDefault="64A1D01D" w:rsidP="709F9D89">
            <w:pPr>
              <w:rPr>
                <w:rFonts w:asciiTheme="minorHAnsi" w:eastAsiaTheme="minorEastAsia" w:hAnsiTheme="minorHAnsi" w:cstheme="minorBidi"/>
                <w:b/>
                <w:bCs/>
              </w:rPr>
            </w:pPr>
            <w:r w:rsidRPr="00D40D8A">
              <w:rPr>
                <w:rFonts w:asciiTheme="minorHAnsi" w:eastAsiaTheme="minorEastAsia" w:hAnsiTheme="minorHAnsi" w:cstheme="minorBidi"/>
                <w:b/>
                <w:bCs/>
              </w:rPr>
              <w:t>Consultation question</w:t>
            </w:r>
            <w:r w:rsidR="001550B6">
              <w:rPr>
                <w:rFonts w:asciiTheme="minorHAnsi" w:eastAsiaTheme="minorEastAsia" w:hAnsiTheme="minorHAnsi" w:cstheme="minorBidi"/>
                <w:b/>
                <w:bCs/>
              </w:rPr>
              <w:t xml:space="preserve"> 1</w:t>
            </w:r>
            <w:r w:rsidR="005F62DF">
              <w:rPr>
                <w:rFonts w:asciiTheme="minorHAnsi" w:eastAsiaTheme="minorEastAsia" w:hAnsiTheme="minorHAnsi" w:cstheme="minorBidi"/>
                <w:b/>
                <w:bCs/>
              </w:rPr>
              <w:t>:</w:t>
            </w:r>
            <w:r w:rsidRPr="00D40D8A">
              <w:rPr>
                <w:rFonts w:asciiTheme="minorHAnsi" w:eastAsiaTheme="minorEastAsia" w:hAnsiTheme="minorHAnsi" w:cstheme="minorBidi"/>
                <w:b/>
                <w:bCs/>
              </w:rPr>
              <w:t xml:space="preserve"> About the existing regulatory regime</w:t>
            </w:r>
          </w:p>
          <w:p w14:paraId="5C37D493" w14:textId="77777777" w:rsidR="28161178" w:rsidRDefault="008E78FB" w:rsidP="00FB0CA6">
            <w:pPr>
              <w:pStyle w:val="ListParagraph"/>
              <w:numPr>
                <w:ilvl w:val="0"/>
                <w:numId w:val="33"/>
              </w:numPr>
              <w:rPr>
                <w:rFonts w:asciiTheme="minorHAnsi" w:eastAsiaTheme="minorEastAsia" w:hAnsiTheme="minorHAnsi" w:cstheme="minorBidi"/>
              </w:rPr>
            </w:pPr>
            <w:r w:rsidRPr="008E78FB">
              <w:rPr>
                <w:rFonts w:asciiTheme="minorHAnsi" w:eastAsiaTheme="minorEastAsia" w:hAnsiTheme="minorHAnsi" w:cstheme="minorBidi"/>
              </w:rPr>
              <w:t xml:space="preserve">Are the ICRC’s current enforcement powers appropriate? </w:t>
            </w:r>
          </w:p>
          <w:p w14:paraId="14D8D024" w14:textId="68ECB710" w:rsidR="00D40D8A" w:rsidRDefault="00D40D8A" w:rsidP="001550B6">
            <w:pPr>
              <w:pStyle w:val="ListParagraph"/>
              <w:rPr>
                <w:rFonts w:asciiTheme="minorHAnsi" w:eastAsiaTheme="minorEastAsia" w:hAnsiTheme="minorHAnsi" w:cstheme="minorBidi"/>
              </w:rPr>
            </w:pPr>
          </w:p>
        </w:tc>
      </w:tr>
    </w:tbl>
    <w:p w14:paraId="791AA5F3" w14:textId="18776C0E" w:rsidR="28161178" w:rsidRDefault="28161178" w:rsidP="28161178">
      <w:pPr>
        <w:rPr>
          <w:rFonts w:ascii="Calibri" w:hAnsi="Calibri"/>
        </w:rPr>
      </w:pPr>
    </w:p>
    <w:p w14:paraId="40E39A5F" w14:textId="6EB48724" w:rsidR="00D97DBA" w:rsidRDefault="00D97DBA" w:rsidP="00396EC2">
      <w:pPr>
        <w:pStyle w:val="Heading2"/>
        <w:spacing w:before="0" w:after="0"/>
        <w:rPr>
          <w:rFonts w:eastAsia="Calibri"/>
          <w:lang w:eastAsia="en-US"/>
        </w:rPr>
      </w:pPr>
      <w:bookmarkStart w:id="31" w:name="_Toc146284767"/>
      <w:r>
        <w:rPr>
          <w:i w:val="0"/>
          <w:iCs w:val="0"/>
        </w:rPr>
        <w:t>Cross-jurisdictional approaches to compliance</w:t>
      </w:r>
      <w:bookmarkEnd w:id="31"/>
    </w:p>
    <w:p w14:paraId="76A60593" w14:textId="77777777" w:rsidR="00570484" w:rsidRDefault="00570484" w:rsidP="00570484">
      <w:pPr>
        <w:rPr>
          <w:rFonts w:ascii="Calibri" w:eastAsia="Calibri" w:hAnsi="Calibri" w:cs="Calibri"/>
          <w:lang w:eastAsia="en-US"/>
        </w:rPr>
      </w:pPr>
    </w:p>
    <w:p w14:paraId="5A30DB27" w14:textId="77777777" w:rsidR="00A278C7" w:rsidRDefault="00D97DBA" w:rsidP="00570484">
      <w:pPr>
        <w:rPr>
          <w:rFonts w:ascii="Calibri" w:eastAsia="Calibri" w:hAnsi="Calibri" w:cs="Calibri"/>
          <w:lang w:eastAsia="en-US"/>
        </w:rPr>
      </w:pPr>
      <w:r w:rsidRPr="00D97DBA">
        <w:rPr>
          <w:rFonts w:ascii="Calibri" w:eastAsia="Calibri" w:hAnsi="Calibri" w:cs="Calibri"/>
          <w:lang w:eastAsia="en-US"/>
        </w:rPr>
        <w:t>The ACT is the only jurisdiction in Australia that does not provide a pathway for civil enforcement of obligations on utilit</w:t>
      </w:r>
      <w:r>
        <w:rPr>
          <w:rFonts w:ascii="Calibri" w:eastAsia="Calibri" w:hAnsi="Calibri" w:cs="Calibri"/>
          <w:lang w:eastAsia="en-US"/>
        </w:rPr>
        <w:t xml:space="preserve">ies and </w:t>
      </w:r>
      <w:r w:rsidR="004436AC">
        <w:rPr>
          <w:rFonts w:ascii="Calibri" w:eastAsia="Calibri" w:hAnsi="Calibri" w:cs="Calibri"/>
          <w:lang w:eastAsia="en-US"/>
        </w:rPr>
        <w:t>energy</w:t>
      </w:r>
      <w:r>
        <w:rPr>
          <w:rFonts w:ascii="Calibri" w:eastAsia="Calibri" w:hAnsi="Calibri" w:cs="Calibri"/>
          <w:lang w:eastAsia="en-US"/>
        </w:rPr>
        <w:t xml:space="preserve"> retailers</w:t>
      </w:r>
      <w:r w:rsidRPr="00D97DBA">
        <w:rPr>
          <w:rFonts w:ascii="Calibri" w:eastAsia="Calibri" w:hAnsi="Calibri" w:cs="Calibri"/>
          <w:lang w:eastAsia="en-US"/>
        </w:rPr>
        <w:t>. Most jurisdictions provide both civil and criminal streams, with criminal sanctions available for the most serious breaches of the law.</w:t>
      </w:r>
    </w:p>
    <w:p w14:paraId="39810162" w14:textId="77777777" w:rsidR="00D4061C" w:rsidRDefault="00D4061C" w:rsidP="00570484">
      <w:pPr>
        <w:rPr>
          <w:rFonts w:ascii="Calibri" w:eastAsia="Calibri" w:hAnsi="Calibri" w:cs="Calibri"/>
          <w:lang w:eastAsia="en-US"/>
        </w:rPr>
      </w:pPr>
    </w:p>
    <w:p w14:paraId="34F66E09" w14:textId="17C34565" w:rsidR="00D4061C" w:rsidRDefault="00D4061C" w:rsidP="00570484">
      <w:pPr>
        <w:rPr>
          <w:rFonts w:ascii="Calibri" w:eastAsia="Calibri" w:hAnsi="Calibri" w:cs="Calibri"/>
          <w:lang w:eastAsia="en-US"/>
        </w:rPr>
      </w:pPr>
      <w:r>
        <w:rPr>
          <w:rFonts w:ascii="Calibri" w:eastAsia="Calibri" w:hAnsi="Calibri" w:cs="Calibri"/>
          <w:lang w:eastAsia="en-US"/>
        </w:rPr>
        <w:t>The I</w:t>
      </w:r>
      <w:r>
        <w:rPr>
          <w:rFonts w:ascii="Calibri" w:hAnsi="Calibri" w:cs="Arial"/>
        </w:rPr>
        <w:t>CRC and Australian Energy Regulator (AER) have overlapping jurisdiction in relation to some conduct obligations of electricity and gas providers in the ACT</w:t>
      </w:r>
      <w:r w:rsidR="005714A5">
        <w:rPr>
          <w:rFonts w:ascii="Calibri" w:hAnsi="Calibri" w:cs="Arial"/>
        </w:rPr>
        <w:t>.</w:t>
      </w:r>
    </w:p>
    <w:p w14:paraId="6BA21440" w14:textId="77777777" w:rsidR="002968A1" w:rsidRDefault="002968A1" w:rsidP="00570484">
      <w:pPr>
        <w:rPr>
          <w:rFonts w:ascii="Calibri" w:eastAsia="Calibri" w:hAnsi="Calibri" w:cs="Calibri"/>
          <w:lang w:eastAsia="en-US"/>
        </w:rPr>
      </w:pPr>
    </w:p>
    <w:p w14:paraId="7E1AFDB9" w14:textId="202353BC" w:rsidR="00A278C7" w:rsidRDefault="00A278C7" w:rsidP="00570484">
      <w:pPr>
        <w:rPr>
          <w:rFonts w:ascii="Calibri" w:eastAsia="Calibri" w:hAnsi="Calibri" w:cs="Calibri"/>
          <w:lang w:eastAsia="en-US"/>
        </w:rPr>
      </w:pPr>
      <w:r w:rsidRPr="00A278C7">
        <w:rPr>
          <w:rFonts w:ascii="Calibri" w:eastAsia="Calibri" w:hAnsi="Calibri" w:cs="Calibri"/>
          <w:lang w:eastAsia="en-US"/>
        </w:rPr>
        <w:t>When the interstate counterparts to the ICRC</w:t>
      </w:r>
      <w:r w:rsidR="00947244">
        <w:rPr>
          <w:rFonts w:ascii="Calibri" w:eastAsia="Calibri" w:hAnsi="Calibri" w:cs="Calibri"/>
          <w:lang w:eastAsia="en-US"/>
        </w:rPr>
        <w:t xml:space="preserve"> or the </w:t>
      </w:r>
      <w:r w:rsidR="00072436">
        <w:rPr>
          <w:rFonts w:ascii="Calibri" w:eastAsia="Calibri" w:hAnsi="Calibri" w:cs="Calibri"/>
          <w:lang w:eastAsia="en-US"/>
        </w:rPr>
        <w:t>AER</w:t>
      </w:r>
      <w:r w:rsidRPr="00A278C7">
        <w:rPr>
          <w:rFonts w:ascii="Calibri" w:eastAsia="Calibri" w:hAnsi="Calibri" w:cs="Calibri"/>
          <w:lang w:eastAsia="en-US"/>
        </w:rPr>
        <w:t xml:space="preserve"> use their formal enforcement powers, they typically seek and obtain court enforceable undertakings and issue </w:t>
      </w:r>
      <w:r w:rsidRPr="00A278C7">
        <w:rPr>
          <w:rFonts w:ascii="Calibri" w:eastAsia="Calibri" w:hAnsi="Calibri" w:cs="Calibri"/>
          <w:lang w:eastAsia="en-US"/>
        </w:rPr>
        <w:lastRenderedPageBreak/>
        <w:t>infringement notices that are available as civil enforcement powers</w:t>
      </w:r>
      <w:r>
        <w:rPr>
          <w:rFonts w:ascii="Calibri" w:eastAsia="Calibri" w:hAnsi="Calibri" w:cs="Calibri"/>
          <w:lang w:eastAsia="en-US"/>
        </w:rPr>
        <w:t>, rather than seeking criminal prosecutions.</w:t>
      </w:r>
    </w:p>
    <w:p w14:paraId="6C849F69" w14:textId="77777777" w:rsidR="00732D05" w:rsidRDefault="00732D05" w:rsidP="00570484">
      <w:pPr>
        <w:rPr>
          <w:rFonts w:ascii="Calibri" w:eastAsia="Calibri" w:hAnsi="Calibri" w:cs="Calibri"/>
          <w:lang w:eastAsia="en-US"/>
        </w:rPr>
      </w:pPr>
    </w:p>
    <w:p w14:paraId="660EA429" w14:textId="599942CD" w:rsidR="00D5077C" w:rsidRDefault="00732D05" w:rsidP="00570484">
      <w:pPr>
        <w:rPr>
          <w:rFonts w:ascii="Calibri" w:eastAsia="Calibri" w:hAnsi="Calibri" w:cs="Calibri"/>
          <w:lang w:eastAsia="en-US"/>
        </w:rPr>
      </w:pPr>
      <w:r w:rsidRPr="00563CC3">
        <w:rPr>
          <w:rFonts w:ascii="Calibri" w:eastAsia="Calibri" w:hAnsi="Calibri" w:cs="Calibri"/>
          <w:lang w:eastAsia="en-US"/>
        </w:rPr>
        <w:t>Other jur</w:t>
      </w:r>
      <w:r w:rsidR="009E4161">
        <w:rPr>
          <w:rFonts w:ascii="Calibri" w:eastAsia="Calibri" w:hAnsi="Calibri" w:cs="Calibri"/>
          <w:lang w:eastAsia="en-US"/>
        </w:rPr>
        <w:t>i</w:t>
      </w:r>
      <w:r w:rsidRPr="00563CC3">
        <w:rPr>
          <w:rFonts w:ascii="Calibri" w:eastAsia="Calibri" w:hAnsi="Calibri" w:cs="Calibri"/>
          <w:lang w:eastAsia="en-US"/>
        </w:rPr>
        <w:t>sdictions have moved to this model to assist industry regulators to provide better outcome</w:t>
      </w:r>
      <w:r w:rsidR="00744E73">
        <w:rPr>
          <w:rFonts w:ascii="Calibri" w:eastAsia="Calibri" w:hAnsi="Calibri" w:cs="Calibri"/>
          <w:lang w:eastAsia="en-US"/>
        </w:rPr>
        <w:t>s</w:t>
      </w:r>
      <w:r w:rsidRPr="00563CC3">
        <w:rPr>
          <w:rFonts w:ascii="Calibri" w:eastAsia="Calibri" w:hAnsi="Calibri" w:cs="Calibri"/>
          <w:lang w:eastAsia="en-US"/>
        </w:rPr>
        <w:t xml:space="preserve"> for customers of utility providers and energy retailers. Queensland recently amended its laws governing utility providers and energy retailers to ensure its regulator</w:t>
      </w:r>
      <w:r w:rsidR="000F1CF9">
        <w:rPr>
          <w:rFonts w:ascii="Calibri" w:eastAsia="Calibri" w:hAnsi="Calibri" w:cs="Calibri"/>
          <w:lang w:eastAsia="en-US"/>
        </w:rPr>
        <w:t xml:space="preserve"> </w:t>
      </w:r>
      <w:r w:rsidRPr="00563CC3">
        <w:rPr>
          <w:rFonts w:ascii="Calibri" w:eastAsia="Calibri" w:hAnsi="Calibri" w:cs="Calibri"/>
          <w:lang w:eastAsia="en-US"/>
        </w:rPr>
        <w:t xml:space="preserve">had equivalent enforcement powers and civil sanctions as the </w:t>
      </w:r>
      <w:r w:rsidR="008533EF">
        <w:rPr>
          <w:rFonts w:ascii="Calibri" w:eastAsia="Calibri" w:hAnsi="Calibri" w:cs="Calibri"/>
          <w:lang w:eastAsia="en-US"/>
        </w:rPr>
        <w:t>AER</w:t>
      </w:r>
      <w:r w:rsidRPr="00563CC3">
        <w:rPr>
          <w:rFonts w:ascii="Calibri" w:eastAsia="Calibri" w:hAnsi="Calibri" w:cs="Calibri"/>
          <w:lang w:eastAsia="en-US"/>
        </w:rPr>
        <w:t>.</w:t>
      </w:r>
    </w:p>
    <w:p w14:paraId="7438EAA2" w14:textId="5377F670" w:rsidR="00A278C7" w:rsidRPr="00563CC3" w:rsidRDefault="00A278C7" w:rsidP="00570484">
      <w:pPr>
        <w:rPr>
          <w:rFonts w:ascii="Calibri" w:eastAsia="Calibri" w:hAnsi="Calibri" w:cs="Calibri"/>
          <w:lang w:eastAsia="en-US"/>
        </w:rPr>
      </w:pPr>
    </w:p>
    <w:p w14:paraId="1B6F2655" w14:textId="37FBD40A" w:rsidR="00B3340F" w:rsidRDefault="00A278C7" w:rsidP="00B3340F">
      <w:pPr>
        <w:rPr>
          <w:rFonts w:ascii="Calibri" w:eastAsia="Calibri" w:hAnsi="Calibri" w:cs="Calibri"/>
          <w:lang w:eastAsia="en-US"/>
        </w:rPr>
      </w:pPr>
      <w:r w:rsidRPr="00563CC3">
        <w:rPr>
          <w:rFonts w:ascii="Calibri" w:eastAsia="Calibri" w:hAnsi="Calibri" w:cs="Calibri"/>
          <w:lang w:eastAsia="en-US"/>
        </w:rPr>
        <w:t xml:space="preserve">The ICRC has less capacity to secure compliance with obligations by utilities than interstate counterparts </w:t>
      </w:r>
      <w:r w:rsidR="003877B1">
        <w:rPr>
          <w:rFonts w:ascii="Calibri" w:eastAsia="Calibri" w:hAnsi="Calibri" w:cs="Calibri"/>
          <w:lang w:eastAsia="en-US"/>
        </w:rPr>
        <w:t xml:space="preserve">or the AER, </w:t>
      </w:r>
      <w:r w:rsidRPr="00563CC3">
        <w:rPr>
          <w:rFonts w:ascii="Calibri" w:eastAsia="Calibri" w:hAnsi="Calibri" w:cs="Calibri"/>
          <w:lang w:eastAsia="en-US"/>
        </w:rPr>
        <w:t>who have a modern suite of powers to allow a gradated approach to securing</w:t>
      </w:r>
      <w:r w:rsidRPr="00A278C7">
        <w:rPr>
          <w:rFonts w:ascii="Calibri" w:eastAsia="Calibri" w:hAnsi="Calibri" w:cs="Calibri"/>
          <w:lang w:eastAsia="en-US"/>
        </w:rPr>
        <w:t xml:space="preserve"> compliance, spanning from low, mid-level and high</w:t>
      </w:r>
      <w:r w:rsidR="009E4161">
        <w:rPr>
          <w:rFonts w:ascii="Calibri" w:eastAsia="Calibri" w:hAnsi="Calibri" w:cs="Calibri"/>
          <w:lang w:eastAsia="en-US"/>
        </w:rPr>
        <w:t>-</w:t>
      </w:r>
      <w:r w:rsidRPr="00A278C7">
        <w:rPr>
          <w:rFonts w:ascii="Calibri" w:eastAsia="Calibri" w:hAnsi="Calibri" w:cs="Calibri"/>
          <w:lang w:eastAsia="en-US"/>
        </w:rPr>
        <w:t>level non-compliance</w:t>
      </w:r>
      <w:r>
        <w:rPr>
          <w:rFonts w:ascii="Calibri" w:eastAsia="Calibri" w:hAnsi="Calibri" w:cs="Calibri"/>
          <w:lang w:eastAsia="en-US"/>
        </w:rPr>
        <w:t>.</w:t>
      </w:r>
    </w:p>
    <w:p w14:paraId="53025527" w14:textId="216B27FD" w:rsidR="001A3A18" w:rsidRDefault="001A3A18" w:rsidP="00B3340F">
      <w:pPr>
        <w:rPr>
          <w:rFonts w:ascii="Calibri" w:eastAsia="Calibri" w:hAnsi="Calibri" w:cs="Calibri"/>
          <w:lang w:eastAsia="en-US"/>
        </w:rPr>
      </w:pPr>
    </w:p>
    <w:p w14:paraId="78F1F026" w14:textId="152A93D0" w:rsidR="001A3A18" w:rsidRDefault="001A3A18" w:rsidP="00B3340F">
      <w:pPr>
        <w:rPr>
          <w:rFonts w:ascii="Calibri" w:eastAsia="Calibri" w:hAnsi="Calibri" w:cs="Calibri"/>
          <w:lang w:eastAsia="en-US"/>
        </w:rPr>
      </w:pPr>
      <w:r w:rsidRPr="001A3A18">
        <w:rPr>
          <w:rFonts w:ascii="Calibri" w:eastAsia="Calibri" w:hAnsi="Calibri" w:cs="Calibri"/>
          <w:lang w:eastAsia="en-US"/>
        </w:rPr>
        <w:t xml:space="preserve">The gap in the ICRC’s regulatory toolkit is further </w:t>
      </w:r>
      <w:r w:rsidR="00F667E9">
        <w:rPr>
          <w:rFonts w:ascii="Calibri" w:eastAsia="Calibri" w:hAnsi="Calibri" w:cs="Calibri"/>
          <w:lang w:eastAsia="en-US"/>
        </w:rPr>
        <w:t>evidenced</w:t>
      </w:r>
      <w:r w:rsidRPr="001A3A18">
        <w:rPr>
          <w:rFonts w:ascii="Calibri" w:eastAsia="Calibri" w:hAnsi="Calibri" w:cs="Calibri"/>
          <w:lang w:eastAsia="en-US"/>
        </w:rPr>
        <w:t xml:space="preserve"> by the fact that Icon Water, the ACT’s </w:t>
      </w:r>
      <w:proofErr w:type="gramStart"/>
      <w:r w:rsidRPr="001A3A18">
        <w:rPr>
          <w:rFonts w:ascii="Calibri" w:eastAsia="Calibri" w:hAnsi="Calibri" w:cs="Calibri"/>
          <w:lang w:eastAsia="en-US"/>
        </w:rPr>
        <w:t>water</w:t>
      </w:r>
      <w:proofErr w:type="gramEnd"/>
      <w:r w:rsidRPr="001A3A18">
        <w:rPr>
          <w:rFonts w:ascii="Calibri" w:eastAsia="Calibri" w:hAnsi="Calibri" w:cs="Calibri"/>
          <w:lang w:eastAsia="en-US"/>
        </w:rPr>
        <w:t xml:space="preserve"> and sewerage utility, can issue infringement notices when </w:t>
      </w:r>
      <w:r w:rsidR="00F667E9">
        <w:rPr>
          <w:rFonts w:ascii="Calibri" w:eastAsia="Calibri" w:hAnsi="Calibri" w:cs="Calibri"/>
          <w:lang w:eastAsia="en-US"/>
        </w:rPr>
        <w:t xml:space="preserve">its </w:t>
      </w:r>
      <w:r w:rsidRPr="001A3A18">
        <w:rPr>
          <w:rFonts w:ascii="Calibri" w:eastAsia="Calibri" w:hAnsi="Calibri" w:cs="Calibri"/>
          <w:lang w:eastAsia="en-US"/>
        </w:rPr>
        <w:t xml:space="preserve">customers fail to comply with water conservation measures. However, the ICRC cannot issue an infringement notice to </w:t>
      </w:r>
      <w:r w:rsidR="00F667E9">
        <w:rPr>
          <w:rFonts w:ascii="Calibri" w:eastAsia="Calibri" w:hAnsi="Calibri" w:cs="Calibri"/>
          <w:lang w:eastAsia="en-US"/>
        </w:rPr>
        <w:t>utilities</w:t>
      </w:r>
      <w:r w:rsidRPr="001A3A18">
        <w:rPr>
          <w:rFonts w:ascii="Calibri" w:eastAsia="Calibri" w:hAnsi="Calibri" w:cs="Calibri"/>
          <w:lang w:eastAsia="en-US"/>
        </w:rPr>
        <w:t xml:space="preserve"> </w:t>
      </w:r>
      <w:r w:rsidR="002F3EF8">
        <w:rPr>
          <w:rFonts w:ascii="Calibri" w:eastAsia="Calibri" w:hAnsi="Calibri" w:cs="Calibri"/>
          <w:lang w:eastAsia="en-US"/>
        </w:rPr>
        <w:t xml:space="preserve">should </w:t>
      </w:r>
      <w:r w:rsidR="00F667E9">
        <w:rPr>
          <w:rFonts w:ascii="Calibri" w:eastAsia="Calibri" w:hAnsi="Calibri" w:cs="Calibri"/>
          <w:lang w:eastAsia="en-US"/>
        </w:rPr>
        <w:t>they</w:t>
      </w:r>
      <w:r w:rsidR="002F3EF8">
        <w:rPr>
          <w:rFonts w:ascii="Calibri" w:eastAsia="Calibri" w:hAnsi="Calibri" w:cs="Calibri"/>
          <w:lang w:eastAsia="en-US"/>
        </w:rPr>
        <w:t xml:space="preserve"> </w:t>
      </w:r>
      <w:r w:rsidRPr="001A3A18">
        <w:rPr>
          <w:rFonts w:ascii="Calibri" w:eastAsia="Calibri" w:hAnsi="Calibri" w:cs="Calibri"/>
          <w:lang w:eastAsia="en-US"/>
        </w:rPr>
        <w:t xml:space="preserve">fail to meet </w:t>
      </w:r>
      <w:r w:rsidR="002F3EF8" w:rsidRPr="2F00E841">
        <w:rPr>
          <w:rFonts w:ascii="Calibri" w:eastAsia="SimSun" w:hAnsi="Calibri"/>
          <w:color w:val="000000" w:themeColor="text1"/>
          <w:lang w:eastAsia="zh-CN"/>
        </w:rPr>
        <w:t>guaranteed service level requirements</w:t>
      </w:r>
      <w:r w:rsidRPr="001A3A18">
        <w:rPr>
          <w:rFonts w:ascii="Calibri" w:eastAsia="Calibri" w:hAnsi="Calibri" w:cs="Calibri"/>
          <w:lang w:eastAsia="en-US"/>
        </w:rPr>
        <w:t>. </w:t>
      </w:r>
    </w:p>
    <w:p w14:paraId="580638E7" w14:textId="77777777" w:rsidR="00A278C7" w:rsidRDefault="00A278C7" w:rsidP="00570484">
      <w:pPr>
        <w:rPr>
          <w:rFonts w:ascii="Calibri" w:eastAsia="Calibri" w:hAnsi="Calibri" w:cs="Calibri"/>
          <w:lang w:eastAsia="en-US"/>
        </w:rPr>
      </w:pPr>
    </w:p>
    <w:p w14:paraId="01C1DF45" w14:textId="0E0DF9B4" w:rsidR="00CB06F8" w:rsidRDefault="003D0F36" w:rsidP="00570484">
      <w:pPr>
        <w:rPr>
          <w:rFonts w:ascii="Calibri" w:eastAsia="Calibri" w:hAnsi="Calibri" w:cs="Calibri"/>
          <w:lang w:eastAsia="en-US"/>
        </w:rPr>
      </w:pPr>
      <w:r w:rsidRPr="003D0F36">
        <w:rPr>
          <w:rFonts w:ascii="Calibri" w:eastAsia="Calibri" w:hAnsi="Calibri" w:cs="Calibri"/>
          <w:lang w:eastAsia="en-US"/>
        </w:rPr>
        <w:t xml:space="preserve">The table </w:t>
      </w:r>
      <w:r w:rsidR="00570484">
        <w:rPr>
          <w:rFonts w:ascii="Calibri" w:eastAsia="Calibri" w:hAnsi="Calibri" w:cs="Calibri"/>
          <w:lang w:eastAsia="en-US"/>
        </w:rPr>
        <w:t xml:space="preserve">below </w:t>
      </w:r>
      <w:r w:rsidRPr="003D0F36">
        <w:rPr>
          <w:rFonts w:ascii="Calibri" w:eastAsia="Calibri" w:hAnsi="Calibri" w:cs="Calibri"/>
          <w:lang w:eastAsia="en-US"/>
        </w:rPr>
        <w:t>summarises the utility and energy regulatory powers in other jurisdictions.</w:t>
      </w:r>
      <w:r w:rsidR="00C05CC8">
        <w:rPr>
          <w:rFonts w:ascii="Calibri" w:eastAsia="Calibri" w:hAnsi="Calibri" w:cs="Calibri"/>
          <w:lang w:eastAsia="en-US"/>
        </w:rPr>
        <w:t xml:space="preserve"> </w:t>
      </w:r>
    </w:p>
    <w:p w14:paraId="059F1C62" w14:textId="77777777" w:rsidR="00570484" w:rsidRPr="003D0F36" w:rsidRDefault="00570484" w:rsidP="00570484">
      <w:pPr>
        <w:rPr>
          <w:rFonts w:ascii="Calibri" w:eastAsia="Calibri" w:hAnsi="Calibri" w:cs="Calibri"/>
          <w:lang w:eastAsia="en-US"/>
        </w:rPr>
      </w:pPr>
    </w:p>
    <w:p w14:paraId="44108590" w14:textId="49311C8C" w:rsidR="003D0F36" w:rsidRPr="003D0F36" w:rsidRDefault="003D0F36" w:rsidP="00E659D6">
      <w:pPr>
        <w:pStyle w:val="Caption"/>
        <w:spacing w:before="0" w:after="120" w:line="240" w:lineRule="auto"/>
        <w:rPr>
          <w:sz w:val="24"/>
          <w:szCs w:val="24"/>
        </w:rPr>
      </w:pPr>
      <w:r w:rsidRPr="49FA850C">
        <w:rPr>
          <w:sz w:val="24"/>
          <w:szCs w:val="24"/>
        </w:rPr>
        <w:t xml:space="preserve">Table </w:t>
      </w:r>
      <w:r w:rsidR="005B55B7" w:rsidRPr="49FA850C">
        <w:rPr>
          <w:sz w:val="24"/>
          <w:szCs w:val="24"/>
        </w:rPr>
        <w:t>3</w:t>
      </w:r>
      <w:r w:rsidRPr="49FA850C">
        <w:rPr>
          <w:sz w:val="24"/>
          <w:szCs w:val="24"/>
        </w:rPr>
        <w:t>.</w:t>
      </w:r>
      <w:r w:rsidR="005B55B7" w:rsidRPr="49FA850C">
        <w:rPr>
          <w:sz w:val="24"/>
          <w:szCs w:val="24"/>
        </w:rPr>
        <w:t xml:space="preserve">3 </w:t>
      </w:r>
      <w:r w:rsidRPr="49FA850C">
        <w:rPr>
          <w:sz w:val="24"/>
          <w:szCs w:val="24"/>
        </w:rPr>
        <w:t xml:space="preserve">Summary of utility and energy regulators’ powers in </w:t>
      </w:r>
      <w:r w:rsidR="009E4161" w:rsidRPr="49FA850C">
        <w:rPr>
          <w:sz w:val="24"/>
          <w:szCs w:val="24"/>
        </w:rPr>
        <w:t xml:space="preserve">Australian </w:t>
      </w:r>
      <w:r w:rsidRPr="49FA850C">
        <w:rPr>
          <w:sz w:val="24"/>
          <w:szCs w:val="24"/>
        </w:rPr>
        <w:t>jurisdictions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13"/>
        <w:gridCol w:w="979"/>
        <w:gridCol w:w="1007"/>
        <w:gridCol w:w="1088"/>
        <w:gridCol w:w="986"/>
        <w:gridCol w:w="1140"/>
        <w:gridCol w:w="947"/>
        <w:gridCol w:w="892"/>
        <w:gridCol w:w="976"/>
      </w:tblGrid>
      <w:tr w:rsidR="003D0F36" w14:paraId="730F2CC5" w14:textId="77777777" w:rsidTr="008B40F7">
        <w:tc>
          <w:tcPr>
            <w:tcW w:w="1613" w:type="dxa"/>
            <w:shd w:val="clear" w:color="auto" w:fill="002060"/>
          </w:tcPr>
          <w:p w14:paraId="48E0CB5B" w14:textId="77777777" w:rsidR="003D0F36" w:rsidRPr="008B40F7" w:rsidRDefault="003D0F36" w:rsidP="008B40F7">
            <w:pPr>
              <w:pStyle w:val="ah5sec"/>
              <w:keepNext/>
              <w:spacing w:before="240" w:beforeAutospacing="0" w:after="0" w:afterAutospacing="0"/>
              <w:jc w:val="center"/>
              <w:rPr>
                <w:rFonts w:ascii="Calibri" w:hAnsi="Calibri" w:cs="Calibri"/>
                <w:b/>
                <w:bCs/>
                <w:color w:val="FFFFFF"/>
                <w:sz w:val="22"/>
                <w:szCs w:val="22"/>
              </w:rPr>
            </w:pPr>
            <w:r w:rsidRPr="008B40F7">
              <w:rPr>
                <w:rFonts w:ascii="Calibri" w:hAnsi="Calibri" w:cs="Calibri"/>
                <w:b/>
                <w:bCs/>
                <w:color w:val="FFFFFF"/>
                <w:sz w:val="22"/>
                <w:szCs w:val="22"/>
              </w:rPr>
              <w:t>Enforcement Power</w:t>
            </w:r>
          </w:p>
        </w:tc>
        <w:tc>
          <w:tcPr>
            <w:tcW w:w="979" w:type="dxa"/>
            <w:shd w:val="clear" w:color="auto" w:fill="002060"/>
          </w:tcPr>
          <w:p w14:paraId="72E63BBF" w14:textId="1D7545E4" w:rsidR="003D0F36" w:rsidRPr="008B40F7" w:rsidRDefault="002F3EF8" w:rsidP="008B40F7">
            <w:pPr>
              <w:pStyle w:val="ah5sec"/>
              <w:keepNext/>
              <w:spacing w:before="240" w:beforeAutospacing="0" w:after="0" w:afterAutospacing="0"/>
              <w:jc w:val="center"/>
              <w:rPr>
                <w:rFonts w:ascii="Calibri" w:hAnsi="Calibri" w:cs="Calibri"/>
                <w:b/>
                <w:bCs/>
                <w:color w:val="FFFFFF"/>
                <w:sz w:val="22"/>
                <w:szCs w:val="22"/>
              </w:rPr>
            </w:pPr>
            <w:r>
              <w:rPr>
                <w:rFonts w:ascii="Calibri" w:hAnsi="Calibri" w:cs="Calibri"/>
                <w:b/>
                <w:bCs/>
                <w:color w:val="FFFFFF"/>
                <w:sz w:val="22"/>
                <w:szCs w:val="22"/>
              </w:rPr>
              <w:t>ICRC</w:t>
            </w:r>
          </w:p>
        </w:tc>
        <w:tc>
          <w:tcPr>
            <w:tcW w:w="1007" w:type="dxa"/>
            <w:tcBorders>
              <w:bottom w:val="single" w:sz="4" w:space="0" w:color="auto"/>
            </w:tcBorders>
            <w:shd w:val="clear" w:color="auto" w:fill="002060"/>
          </w:tcPr>
          <w:p w14:paraId="058EF87D" w14:textId="77777777" w:rsidR="003D0F36" w:rsidRPr="008B40F7" w:rsidRDefault="003D0F36" w:rsidP="008B40F7">
            <w:pPr>
              <w:pStyle w:val="ah5sec"/>
              <w:keepNext/>
              <w:spacing w:before="240" w:beforeAutospacing="0" w:after="0" w:afterAutospacing="0"/>
              <w:jc w:val="center"/>
              <w:rPr>
                <w:rFonts w:ascii="Calibri" w:hAnsi="Calibri" w:cs="Calibri"/>
                <w:b/>
                <w:bCs/>
                <w:color w:val="FFFFFF"/>
                <w:sz w:val="22"/>
                <w:szCs w:val="22"/>
              </w:rPr>
            </w:pPr>
            <w:r w:rsidRPr="008B40F7">
              <w:rPr>
                <w:rFonts w:ascii="Calibri" w:hAnsi="Calibri" w:cs="Calibri"/>
                <w:b/>
                <w:bCs/>
                <w:color w:val="FFFFFF"/>
                <w:sz w:val="22"/>
                <w:szCs w:val="22"/>
              </w:rPr>
              <w:t>NSW</w:t>
            </w:r>
          </w:p>
        </w:tc>
        <w:tc>
          <w:tcPr>
            <w:tcW w:w="1088" w:type="dxa"/>
            <w:tcBorders>
              <w:bottom w:val="single" w:sz="4" w:space="0" w:color="auto"/>
            </w:tcBorders>
            <w:shd w:val="clear" w:color="auto" w:fill="002060"/>
          </w:tcPr>
          <w:p w14:paraId="58DF8EAD" w14:textId="77777777" w:rsidR="003D0F36" w:rsidRPr="008B40F7" w:rsidRDefault="003D0F36" w:rsidP="008B40F7">
            <w:pPr>
              <w:pStyle w:val="ah5sec"/>
              <w:keepNext/>
              <w:spacing w:before="240" w:beforeAutospacing="0" w:after="0" w:afterAutospacing="0"/>
              <w:jc w:val="center"/>
              <w:rPr>
                <w:rFonts w:ascii="Calibri" w:hAnsi="Calibri" w:cs="Calibri"/>
                <w:b/>
                <w:bCs/>
                <w:color w:val="FFFFFF"/>
                <w:sz w:val="22"/>
                <w:szCs w:val="22"/>
              </w:rPr>
            </w:pPr>
            <w:r w:rsidRPr="008B40F7">
              <w:rPr>
                <w:rFonts w:ascii="Calibri" w:hAnsi="Calibri" w:cs="Calibri"/>
                <w:b/>
                <w:bCs/>
                <w:color w:val="FFFFFF"/>
                <w:sz w:val="22"/>
                <w:szCs w:val="22"/>
              </w:rPr>
              <w:t>Victoria</w:t>
            </w:r>
          </w:p>
        </w:tc>
        <w:tc>
          <w:tcPr>
            <w:tcW w:w="986" w:type="dxa"/>
            <w:tcBorders>
              <w:bottom w:val="single" w:sz="4" w:space="0" w:color="auto"/>
            </w:tcBorders>
            <w:shd w:val="clear" w:color="auto" w:fill="002060"/>
          </w:tcPr>
          <w:p w14:paraId="137176B1" w14:textId="77777777" w:rsidR="003D0F36" w:rsidRPr="008B40F7" w:rsidRDefault="003D0F36" w:rsidP="008B40F7">
            <w:pPr>
              <w:pStyle w:val="ah5sec"/>
              <w:keepNext/>
              <w:spacing w:before="240" w:beforeAutospacing="0" w:after="0" w:afterAutospacing="0"/>
              <w:jc w:val="center"/>
              <w:rPr>
                <w:rFonts w:ascii="Calibri" w:hAnsi="Calibri" w:cs="Calibri"/>
                <w:b/>
                <w:bCs/>
                <w:color w:val="FFFFFF"/>
                <w:sz w:val="22"/>
                <w:szCs w:val="22"/>
              </w:rPr>
            </w:pPr>
            <w:r w:rsidRPr="008B40F7">
              <w:rPr>
                <w:rFonts w:ascii="Calibri" w:hAnsi="Calibri" w:cs="Calibri"/>
                <w:b/>
                <w:bCs/>
                <w:color w:val="FFFFFF"/>
                <w:sz w:val="22"/>
                <w:szCs w:val="22"/>
              </w:rPr>
              <w:t>QLD</w:t>
            </w:r>
          </w:p>
        </w:tc>
        <w:tc>
          <w:tcPr>
            <w:tcW w:w="1140" w:type="dxa"/>
            <w:tcBorders>
              <w:bottom w:val="single" w:sz="4" w:space="0" w:color="auto"/>
            </w:tcBorders>
            <w:shd w:val="clear" w:color="auto" w:fill="002060"/>
          </w:tcPr>
          <w:p w14:paraId="02E310BD" w14:textId="77777777" w:rsidR="003D0F36" w:rsidRPr="008B40F7" w:rsidRDefault="003D0F36" w:rsidP="008B40F7">
            <w:pPr>
              <w:pStyle w:val="ah5sec"/>
              <w:keepNext/>
              <w:spacing w:before="240" w:beforeAutospacing="0" w:after="0" w:afterAutospacing="0"/>
              <w:jc w:val="center"/>
              <w:rPr>
                <w:rFonts w:ascii="Calibri" w:hAnsi="Calibri" w:cs="Calibri"/>
                <w:b/>
                <w:bCs/>
                <w:color w:val="FFFFFF"/>
                <w:sz w:val="22"/>
                <w:szCs w:val="22"/>
              </w:rPr>
            </w:pPr>
            <w:r w:rsidRPr="008B40F7">
              <w:rPr>
                <w:rFonts w:ascii="Calibri" w:hAnsi="Calibri" w:cs="Calibri"/>
                <w:b/>
                <w:bCs/>
                <w:color w:val="FFFFFF"/>
                <w:sz w:val="22"/>
                <w:szCs w:val="22"/>
              </w:rPr>
              <w:t>Tasmania</w:t>
            </w:r>
          </w:p>
        </w:tc>
        <w:tc>
          <w:tcPr>
            <w:tcW w:w="947" w:type="dxa"/>
            <w:tcBorders>
              <w:bottom w:val="single" w:sz="4" w:space="0" w:color="auto"/>
            </w:tcBorders>
            <w:shd w:val="clear" w:color="auto" w:fill="002060"/>
          </w:tcPr>
          <w:p w14:paraId="5C05CB1F" w14:textId="77777777" w:rsidR="003D0F36" w:rsidRPr="008B40F7" w:rsidRDefault="003D0F36" w:rsidP="008B40F7">
            <w:pPr>
              <w:pStyle w:val="ah5sec"/>
              <w:keepNext/>
              <w:spacing w:before="240" w:beforeAutospacing="0" w:after="0" w:afterAutospacing="0"/>
              <w:jc w:val="center"/>
              <w:rPr>
                <w:rFonts w:ascii="Calibri" w:hAnsi="Calibri" w:cs="Calibri"/>
                <w:b/>
                <w:bCs/>
                <w:color w:val="FFFFFF"/>
                <w:sz w:val="22"/>
                <w:szCs w:val="22"/>
              </w:rPr>
            </w:pPr>
            <w:r w:rsidRPr="008B40F7">
              <w:rPr>
                <w:rFonts w:ascii="Calibri" w:hAnsi="Calibri" w:cs="Calibri"/>
                <w:b/>
                <w:bCs/>
                <w:color w:val="FFFFFF"/>
                <w:sz w:val="22"/>
                <w:szCs w:val="22"/>
              </w:rPr>
              <w:t>SA</w:t>
            </w:r>
          </w:p>
        </w:tc>
        <w:tc>
          <w:tcPr>
            <w:tcW w:w="892" w:type="dxa"/>
            <w:tcBorders>
              <w:bottom w:val="single" w:sz="4" w:space="0" w:color="auto"/>
            </w:tcBorders>
            <w:shd w:val="clear" w:color="auto" w:fill="002060"/>
          </w:tcPr>
          <w:p w14:paraId="654E4166" w14:textId="77777777" w:rsidR="003D0F36" w:rsidRPr="008B40F7" w:rsidRDefault="003D0F36" w:rsidP="008B40F7">
            <w:pPr>
              <w:pStyle w:val="ah5sec"/>
              <w:keepNext/>
              <w:spacing w:before="240" w:beforeAutospacing="0" w:after="0" w:afterAutospacing="0"/>
              <w:jc w:val="center"/>
              <w:rPr>
                <w:rFonts w:ascii="Calibri" w:hAnsi="Calibri" w:cs="Calibri"/>
                <w:b/>
                <w:bCs/>
                <w:color w:val="FFFFFF"/>
                <w:sz w:val="22"/>
                <w:szCs w:val="22"/>
              </w:rPr>
            </w:pPr>
            <w:r w:rsidRPr="008B40F7">
              <w:rPr>
                <w:rFonts w:ascii="Calibri" w:hAnsi="Calibri" w:cs="Calibri"/>
                <w:b/>
                <w:bCs/>
                <w:color w:val="FFFFFF"/>
                <w:sz w:val="22"/>
                <w:szCs w:val="22"/>
              </w:rPr>
              <w:t>WA</w:t>
            </w:r>
          </w:p>
        </w:tc>
        <w:tc>
          <w:tcPr>
            <w:tcW w:w="976" w:type="dxa"/>
            <w:tcBorders>
              <w:bottom w:val="single" w:sz="4" w:space="0" w:color="auto"/>
            </w:tcBorders>
            <w:shd w:val="clear" w:color="auto" w:fill="002060"/>
          </w:tcPr>
          <w:p w14:paraId="062FCE6F" w14:textId="77777777" w:rsidR="003D0F36" w:rsidRPr="008B40F7" w:rsidRDefault="003D0F36" w:rsidP="008B40F7">
            <w:pPr>
              <w:pStyle w:val="ah5sec"/>
              <w:keepNext/>
              <w:spacing w:before="240" w:beforeAutospacing="0" w:after="0" w:afterAutospacing="0"/>
              <w:jc w:val="center"/>
              <w:rPr>
                <w:rFonts w:ascii="Calibri" w:hAnsi="Calibri" w:cs="Calibri"/>
                <w:b/>
                <w:bCs/>
                <w:color w:val="FFFFFF"/>
                <w:sz w:val="22"/>
                <w:szCs w:val="22"/>
              </w:rPr>
            </w:pPr>
            <w:r w:rsidRPr="008B40F7">
              <w:rPr>
                <w:rFonts w:ascii="Calibri" w:hAnsi="Calibri" w:cs="Calibri"/>
                <w:b/>
                <w:bCs/>
                <w:color w:val="FFFFFF"/>
                <w:sz w:val="22"/>
                <w:szCs w:val="22"/>
              </w:rPr>
              <w:t>AER</w:t>
            </w:r>
          </w:p>
        </w:tc>
      </w:tr>
      <w:tr w:rsidR="003D0F36" w14:paraId="172043CD" w14:textId="77777777" w:rsidTr="006551D7">
        <w:tc>
          <w:tcPr>
            <w:tcW w:w="1613" w:type="dxa"/>
            <w:shd w:val="clear" w:color="auto" w:fill="002060"/>
          </w:tcPr>
          <w:p w14:paraId="28358777" w14:textId="77777777" w:rsidR="003D0F36" w:rsidRPr="008B40F7" w:rsidRDefault="003D0F36" w:rsidP="008B40F7">
            <w:pPr>
              <w:pStyle w:val="ah5sec"/>
              <w:keepNext/>
              <w:spacing w:before="240" w:beforeAutospacing="0" w:after="0" w:afterAutospacing="0"/>
              <w:jc w:val="center"/>
              <w:rPr>
                <w:rFonts w:ascii="Calibri" w:hAnsi="Calibri" w:cs="Calibri"/>
                <w:b/>
                <w:bCs/>
                <w:color w:val="FFFFFF"/>
                <w:sz w:val="22"/>
                <w:szCs w:val="22"/>
              </w:rPr>
            </w:pPr>
            <w:r w:rsidRPr="008B40F7">
              <w:rPr>
                <w:rFonts w:ascii="Calibri" w:hAnsi="Calibri" w:cs="Calibri"/>
                <w:b/>
                <w:bCs/>
                <w:color w:val="FFFFFF"/>
                <w:sz w:val="22"/>
                <w:szCs w:val="22"/>
              </w:rPr>
              <w:t>Infringement notices</w:t>
            </w:r>
          </w:p>
        </w:tc>
        <w:tc>
          <w:tcPr>
            <w:tcW w:w="979" w:type="dxa"/>
            <w:shd w:val="clear" w:color="auto" w:fill="auto"/>
          </w:tcPr>
          <w:p w14:paraId="289AAA7C" w14:textId="77777777" w:rsidR="003D0F36" w:rsidRPr="008B40F7" w:rsidRDefault="003D0F36" w:rsidP="008B40F7">
            <w:pPr>
              <w:pStyle w:val="ah5sec"/>
              <w:keepNext/>
              <w:spacing w:before="240" w:beforeAutospacing="0" w:after="0" w:afterAutospacing="0"/>
              <w:jc w:val="center"/>
              <w:rPr>
                <w:rFonts w:ascii="Calibri" w:hAnsi="Calibri" w:cs="Calibri"/>
                <w:color w:val="FF0000"/>
                <w:sz w:val="36"/>
                <w:szCs w:val="36"/>
              </w:rPr>
            </w:pPr>
            <w:r w:rsidRPr="008B40F7">
              <w:rPr>
                <w:rFonts w:ascii="Wingdings" w:eastAsia="Wingdings" w:hAnsi="Wingdings" w:cs="Wingdings"/>
                <w:color w:val="FF0000"/>
                <w:sz w:val="36"/>
                <w:szCs w:val="36"/>
              </w:rPr>
              <w:t>û</w:t>
            </w:r>
          </w:p>
        </w:tc>
        <w:tc>
          <w:tcPr>
            <w:tcW w:w="1007" w:type="dxa"/>
            <w:shd w:val="clear" w:color="auto" w:fill="auto"/>
          </w:tcPr>
          <w:p w14:paraId="508B311C" w14:textId="77777777" w:rsidR="003D0F36" w:rsidRPr="008B40F7" w:rsidRDefault="003D0F36" w:rsidP="008B40F7">
            <w:pPr>
              <w:pStyle w:val="ah5sec"/>
              <w:keepNext/>
              <w:spacing w:before="240" w:beforeAutospacing="0" w:after="0" w:afterAutospacing="0"/>
              <w:jc w:val="center"/>
              <w:rPr>
                <w:rFonts w:ascii="Calibri" w:hAnsi="Calibri" w:cs="Calibri"/>
                <w:sz w:val="22"/>
                <w:szCs w:val="22"/>
              </w:rPr>
            </w:pPr>
            <w:r w:rsidRPr="008B40F7">
              <w:rPr>
                <w:rFonts w:ascii="Wingdings" w:eastAsia="Wingdings" w:hAnsi="Wingdings" w:cs="Wingdings"/>
                <w:color w:val="00B050"/>
                <w:sz w:val="36"/>
                <w:szCs w:val="36"/>
              </w:rPr>
              <w:t>ü</w:t>
            </w:r>
          </w:p>
        </w:tc>
        <w:tc>
          <w:tcPr>
            <w:tcW w:w="1088" w:type="dxa"/>
            <w:shd w:val="clear" w:color="auto" w:fill="auto"/>
          </w:tcPr>
          <w:p w14:paraId="06E7E5C1" w14:textId="77777777" w:rsidR="003D0F36" w:rsidRPr="008B40F7" w:rsidRDefault="003D0F36" w:rsidP="008B40F7">
            <w:pPr>
              <w:pStyle w:val="ah5sec"/>
              <w:keepNext/>
              <w:spacing w:before="240" w:beforeAutospacing="0" w:after="0" w:afterAutospacing="0"/>
              <w:jc w:val="center"/>
              <w:rPr>
                <w:rFonts w:ascii="Calibri" w:hAnsi="Calibri" w:cs="Calibri"/>
                <w:sz w:val="22"/>
                <w:szCs w:val="22"/>
              </w:rPr>
            </w:pPr>
            <w:r w:rsidRPr="008B40F7">
              <w:rPr>
                <w:rFonts w:ascii="Wingdings" w:eastAsia="Wingdings" w:hAnsi="Wingdings" w:cs="Wingdings"/>
                <w:color w:val="00B050"/>
                <w:sz w:val="36"/>
                <w:szCs w:val="36"/>
              </w:rPr>
              <w:t>ü</w:t>
            </w:r>
          </w:p>
        </w:tc>
        <w:tc>
          <w:tcPr>
            <w:tcW w:w="986" w:type="dxa"/>
            <w:shd w:val="clear" w:color="auto" w:fill="auto"/>
          </w:tcPr>
          <w:p w14:paraId="0965C3C8" w14:textId="77777777" w:rsidR="003D0F36" w:rsidRPr="008B40F7" w:rsidRDefault="003D0F36" w:rsidP="008B40F7">
            <w:pPr>
              <w:pStyle w:val="ah5sec"/>
              <w:keepNext/>
              <w:spacing w:before="240" w:beforeAutospacing="0" w:after="0" w:afterAutospacing="0"/>
              <w:jc w:val="center"/>
              <w:rPr>
                <w:rFonts w:ascii="Calibri" w:hAnsi="Calibri" w:cs="Calibri"/>
                <w:sz w:val="22"/>
                <w:szCs w:val="22"/>
              </w:rPr>
            </w:pPr>
            <w:r w:rsidRPr="008B40F7">
              <w:rPr>
                <w:rFonts w:ascii="Wingdings" w:eastAsia="Wingdings" w:hAnsi="Wingdings" w:cs="Wingdings"/>
                <w:color w:val="00B050"/>
                <w:sz w:val="36"/>
                <w:szCs w:val="36"/>
              </w:rPr>
              <w:t>ü</w:t>
            </w:r>
          </w:p>
        </w:tc>
        <w:tc>
          <w:tcPr>
            <w:tcW w:w="1140" w:type="dxa"/>
            <w:shd w:val="clear" w:color="auto" w:fill="auto"/>
          </w:tcPr>
          <w:p w14:paraId="201478A5" w14:textId="77777777" w:rsidR="003D0F36" w:rsidRPr="008B40F7" w:rsidRDefault="003D0F36" w:rsidP="008B40F7">
            <w:pPr>
              <w:pStyle w:val="ah5sec"/>
              <w:keepNext/>
              <w:spacing w:before="240" w:beforeAutospacing="0" w:after="0" w:afterAutospacing="0"/>
              <w:jc w:val="center"/>
              <w:rPr>
                <w:rFonts w:ascii="Calibri" w:hAnsi="Calibri" w:cs="Calibri"/>
                <w:sz w:val="22"/>
                <w:szCs w:val="22"/>
              </w:rPr>
            </w:pPr>
            <w:r w:rsidRPr="008B40F7">
              <w:rPr>
                <w:rFonts w:ascii="Wingdings" w:eastAsia="Wingdings" w:hAnsi="Wingdings" w:cs="Wingdings"/>
                <w:color w:val="00B050"/>
                <w:sz w:val="36"/>
                <w:szCs w:val="36"/>
              </w:rPr>
              <w:t>ü</w:t>
            </w:r>
          </w:p>
        </w:tc>
        <w:tc>
          <w:tcPr>
            <w:tcW w:w="947" w:type="dxa"/>
            <w:shd w:val="clear" w:color="auto" w:fill="auto"/>
          </w:tcPr>
          <w:p w14:paraId="4C651321" w14:textId="77777777" w:rsidR="003D0F36" w:rsidRPr="008B40F7" w:rsidRDefault="003D0F36" w:rsidP="008B40F7">
            <w:pPr>
              <w:pStyle w:val="ah5sec"/>
              <w:keepNext/>
              <w:spacing w:before="240" w:beforeAutospacing="0" w:after="0" w:afterAutospacing="0"/>
              <w:jc w:val="center"/>
              <w:rPr>
                <w:rFonts w:ascii="Calibri" w:hAnsi="Calibri" w:cs="Calibri"/>
                <w:sz w:val="22"/>
                <w:szCs w:val="22"/>
              </w:rPr>
            </w:pPr>
            <w:r w:rsidRPr="008B40F7">
              <w:rPr>
                <w:rFonts w:ascii="Wingdings" w:eastAsia="Wingdings" w:hAnsi="Wingdings" w:cs="Wingdings"/>
                <w:color w:val="00B050"/>
                <w:sz w:val="36"/>
                <w:szCs w:val="36"/>
              </w:rPr>
              <w:t>ü</w:t>
            </w:r>
          </w:p>
        </w:tc>
        <w:tc>
          <w:tcPr>
            <w:tcW w:w="892" w:type="dxa"/>
            <w:shd w:val="clear" w:color="auto" w:fill="auto"/>
          </w:tcPr>
          <w:p w14:paraId="5C9BB3E0" w14:textId="77777777" w:rsidR="003D0F36" w:rsidRPr="008B40F7" w:rsidRDefault="003D0F36" w:rsidP="008B40F7">
            <w:pPr>
              <w:pStyle w:val="ah5sec"/>
              <w:keepNext/>
              <w:spacing w:before="240" w:beforeAutospacing="0" w:after="0" w:afterAutospacing="0"/>
              <w:jc w:val="center"/>
              <w:rPr>
                <w:rFonts w:ascii="Calibri" w:hAnsi="Calibri" w:cs="Calibri"/>
                <w:sz w:val="22"/>
                <w:szCs w:val="22"/>
              </w:rPr>
            </w:pPr>
            <w:r w:rsidRPr="008B40F7">
              <w:rPr>
                <w:rFonts w:ascii="Wingdings" w:eastAsia="Wingdings" w:hAnsi="Wingdings" w:cs="Wingdings"/>
                <w:color w:val="00B050"/>
                <w:sz w:val="36"/>
                <w:szCs w:val="36"/>
              </w:rPr>
              <w:t>ü</w:t>
            </w:r>
          </w:p>
        </w:tc>
        <w:tc>
          <w:tcPr>
            <w:tcW w:w="976" w:type="dxa"/>
            <w:shd w:val="clear" w:color="auto" w:fill="auto"/>
          </w:tcPr>
          <w:p w14:paraId="5C507EE0" w14:textId="77777777" w:rsidR="003D0F36" w:rsidRPr="008B40F7" w:rsidRDefault="003D0F36" w:rsidP="008B40F7">
            <w:pPr>
              <w:pStyle w:val="ah5sec"/>
              <w:keepNext/>
              <w:spacing w:before="240" w:beforeAutospacing="0" w:after="0" w:afterAutospacing="0"/>
              <w:jc w:val="center"/>
              <w:rPr>
                <w:rFonts w:ascii="Calibri" w:hAnsi="Calibri" w:cs="Calibri"/>
                <w:sz w:val="22"/>
                <w:szCs w:val="22"/>
              </w:rPr>
            </w:pPr>
            <w:r w:rsidRPr="008B40F7">
              <w:rPr>
                <w:rFonts w:ascii="Wingdings" w:eastAsia="Wingdings" w:hAnsi="Wingdings" w:cs="Wingdings"/>
                <w:color w:val="00B050"/>
                <w:sz w:val="36"/>
                <w:szCs w:val="36"/>
              </w:rPr>
              <w:t>ü</w:t>
            </w:r>
          </w:p>
        </w:tc>
      </w:tr>
      <w:tr w:rsidR="003D0F36" w14:paraId="6E41391F" w14:textId="77777777" w:rsidTr="006551D7">
        <w:tc>
          <w:tcPr>
            <w:tcW w:w="1613" w:type="dxa"/>
            <w:shd w:val="clear" w:color="auto" w:fill="002060"/>
          </w:tcPr>
          <w:p w14:paraId="4BD5BC94" w14:textId="77777777" w:rsidR="003D0F36" w:rsidRPr="008B40F7" w:rsidRDefault="003D0F36" w:rsidP="008B40F7">
            <w:pPr>
              <w:pStyle w:val="ah5sec"/>
              <w:keepNext/>
              <w:spacing w:before="240" w:beforeAutospacing="0" w:after="0" w:afterAutospacing="0"/>
              <w:jc w:val="center"/>
              <w:rPr>
                <w:rFonts w:ascii="Calibri" w:hAnsi="Calibri" w:cs="Calibri"/>
                <w:b/>
                <w:bCs/>
                <w:color w:val="FFFFFF"/>
                <w:sz w:val="22"/>
                <w:szCs w:val="22"/>
              </w:rPr>
            </w:pPr>
            <w:r w:rsidRPr="008B40F7">
              <w:rPr>
                <w:rFonts w:ascii="Calibri" w:hAnsi="Calibri" w:cs="Calibri"/>
                <w:b/>
                <w:bCs/>
                <w:color w:val="FFFFFF"/>
                <w:sz w:val="22"/>
                <w:szCs w:val="22"/>
              </w:rPr>
              <w:t>Enforceable undertakings</w:t>
            </w:r>
          </w:p>
        </w:tc>
        <w:tc>
          <w:tcPr>
            <w:tcW w:w="979" w:type="dxa"/>
            <w:shd w:val="clear" w:color="auto" w:fill="auto"/>
          </w:tcPr>
          <w:p w14:paraId="61B060F1" w14:textId="77777777" w:rsidR="003D0F36" w:rsidRPr="008B40F7" w:rsidRDefault="003D0F36" w:rsidP="008B40F7">
            <w:pPr>
              <w:pStyle w:val="ah5sec"/>
              <w:keepNext/>
              <w:spacing w:before="240" w:beforeAutospacing="0" w:after="0" w:afterAutospacing="0"/>
              <w:jc w:val="center"/>
              <w:rPr>
                <w:rFonts w:ascii="Calibri" w:hAnsi="Calibri" w:cs="Calibri"/>
                <w:color w:val="FF0000"/>
                <w:sz w:val="36"/>
                <w:szCs w:val="36"/>
              </w:rPr>
            </w:pPr>
            <w:r w:rsidRPr="008B40F7">
              <w:rPr>
                <w:rFonts w:ascii="Wingdings" w:eastAsia="Wingdings" w:hAnsi="Wingdings" w:cs="Wingdings"/>
                <w:color w:val="FF0000"/>
                <w:sz w:val="36"/>
                <w:szCs w:val="36"/>
              </w:rPr>
              <w:t>û</w:t>
            </w:r>
          </w:p>
        </w:tc>
        <w:tc>
          <w:tcPr>
            <w:tcW w:w="1007" w:type="dxa"/>
            <w:shd w:val="clear" w:color="auto" w:fill="auto"/>
          </w:tcPr>
          <w:p w14:paraId="4683DBF6" w14:textId="77777777" w:rsidR="003D0F36" w:rsidRPr="008B40F7" w:rsidRDefault="003D0F36" w:rsidP="008B40F7">
            <w:pPr>
              <w:pStyle w:val="ah5sec"/>
              <w:keepNext/>
              <w:spacing w:before="240" w:beforeAutospacing="0" w:after="0" w:afterAutospacing="0"/>
              <w:jc w:val="center"/>
              <w:rPr>
                <w:rFonts w:ascii="Calibri" w:hAnsi="Calibri" w:cs="Calibri"/>
                <w:sz w:val="22"/>
                <w:szCs w:val="22"/>
              </w:rPr>
            </w:pPr>
            <w:r w:rsidRPr="008B40F7">
              <w:rPr>
                <w:rFonts w:ascii="Wingdings" w:eastAsia="Wingdings" w:hAnsi="Wingdings" w:cs="Wingdings"/>
                <w:color w:val="00B050"/>
                <w:sz w:val="36"/>
                <w:szCs w:val="36"/>
              </w:rPr>
              <w:t>ü</w:t>
            </w:r>
          </w:p>
        </w:tc>
        <w:tc>
          <w:tcPr>
            <w:tcW w:w="1088" w:type="dxa"/>
            <w:shd w:val="clear" w:color="auto" w:fill="auto"/>
          </w:tcPr>
          <w:p w14:paraId="4B9A411C" w14:textId="77777777" w:rsidR="003D0F36" w:rsidRPr="008B40F7" w:rsidRDefault="003D0F36" w:rsidP="008B40F7">
            <w:pPr>
              <w:pStyle w:val="ah5sec"/>
              <w:keepNext/>
              <w:spacing w:before="240" w:beforeAutospacing="0" w:after="0" w:afterAutospacing="0"/>
              <w:jc w:val="center"/>
              <w:rPr>
                <w:rFonts w:ascii="Calibri" w:hAnsi="Calibri" w:cs="Calibri"/>
                <w:sz w:val="22"/>
                <w:szCs w:val="22"/>
              </w:rPr>
            </w:pPr>
            <w:r w:rsidRPr="008B40F7">
              <w:rPr>
                <w:rFonts w:ascii="Wingdings" w:eastAsia="Wingdings" w:hAnsi="Wingdings" w:cs="Wingdings"/>
                <w:color w:val="00B050"/>
                <w:sz w:val="36"/>
                <w:szCs w:val="36"/>
              </w:rPr>
              <w:t>ü</w:t>
            </w:r>
          </w:p>
        </w:tc>
        <w:tc>
          <w:tcPr>
            <w:tcW w:w="986" w:type="dxa"/>
            <w:shd w:val="clear" w:color="auto" w:fill="auto"/>
          </w:tcPr>
          <w:p w14:paraId="77C0B9B8" w14:textId="77777777" w:rsidR="003D0F36" w:rsidRPr="008B40F7" w:rsidRDefault="003D0F36" w:rsidP="008B40F7">
            <w:pPr>
              <w:pStyle w:val="ah5sec"/>
              <w:keepNext/>
              <w:spacing w:before="240" w:beforeAutospacing="0" w:after="0" w:afterAutospacing="0"/>
              <w:jc w:val="center"/>
              <w:rPr>
                <w:rFonts w:ascii="Calibri" w:hAnsi="Calibri" w:cs="Calibri"/>
                <w:sz w:val="22"/>
                <w:szCs w:val="22"/>
              </w:rPr>
            </w:pPr>
            <w:r w:rsidRPr="008B40F7">
              <w:rPr>
                <w:rFonts w:ascii="Wingdings" w:eastAsia="Wingdings" w:hAnsi="Wingdings" w:cs="Wingdings"/>
                <w:color w:val="00B050"/>
                <w:sz w:val="36"/>
                <w:szCs w:val="36"/>
              </w:rPr>
              <w:t>ü</w:t>
            </w:r>
          </w:p>
        </w:tc>
        <w:tc>
          <w:tcPr>
            <w:tcW w:w="1140" w:type="dxa"/>
            <w:shd w:val="clear" w:color="auto" w:fill="auto"/>
          </w:tcPr>
          <w:p w14:paraId="37A1ACEC" w14:textId="77777777" w:rsidR="003D0F36" w:rsidRPr="008B40F7" w:rsidRDefault="003D0F36" w:rsidP="008B40F7">
            <w:pPr>
              <w:pStyle w:val="ah5sec"/>
              <w:keepNext/>
              <w:spacing w:before="240" w:beforeAutospacing="0" w:after="0" w:afterAutospacing="0"/>
              <w:jc w:val="center"/>
              <w:rPr>
                <w:rFonts w:ascii="Calibri" w:hAnsi="Calibri" w:cs="Calibri"/>
                <w:sz w:val="22"/>
                <w:szCs w:val="22"/>
              </w:rPr>
            </w:pPr>
            <w:r w:rsidRPr="008B40F7">
              <w:rPr>
                <w:rFonts w:ascii="Wingdings" w:eastAsia="Wingdings" w:hAnsi="Wingdings" w:cs="Wingdings"/>
                <w:color w:val="FF0000"/>
                <w:sz w:val="36"/>
                <w:szCs w:val="36"/>
              </w:rPr>
              <w:t>û</w:t>
            </w:r>
          </w:p>
        </w:tc>
        <w:tc>
          <w:tcPr>
            <w:tcW w:w="947" w:type="dxa"/>
            <w:shd w:val="clear" w:color="auto" w:fill="auto"/>
          </w:tcPr>
          <w:p w14:paraId="5073B4EC" w14:textId="77777777" w:rsidR="003D0F36" w:rsidRPr="008B40F7" w:rsidRDefault="003D0F36" w:rsidP="008B40F7">
            <w:pPr>
              <w:pStyle w:val="ah5sec"/>
              <w:keepNext/>
              <w:spacing w:before="240" w:beforeAutospacing="0" w:after="0" w:afterAutospacing="0"/>
              <w:jc w:val="center"/>
              <w:rPr>
                <w:rFonts w:ascii="Calibri" w:hAnsi="Calibri" w:cs="Calibri"/>
                <w:sz w:val="22"/>
                <w:szCs w:val="22"/>
              </w:rPr>
            </w:pPr>
            <w:r w:rsidRPr="008B40F7">
              <w:rPr>
                <w:rFonts w:ascii="Wingdings" w:eastAsia="Wingdings" w:hAnsi="Wingdings" w:cs="Wingdings"/>
                <w:color w:val="00B050"/>
                <w:sz w:val="36"/>
                <w:szCs w:val="36"/>
              </w:rPr>
              <w:t>ü</w:t>
            </w:r>
          </w:p>
        </w:tc>
        <w:tc>
          <w:tcPr>
            <w:tcW w:w="892" w:type="dxa"/>
            <w:shd w:val="clear" w:color="auto" w:fill="auto"/>
          </w:tcPr>
          <w:p w14:paraId="01F09DC0" w14:textId="77777777" w:rsidR="003D0F36" w:rsidRPr="008B40F7" w:rsidRDefault="003D0F36" w:rsidP="008B40F7">
            <w:pPr>
              <w:pStyle w:val="ah5sec"/>
              <w:keepNext/>
              <w:spacing w:before="240" w:beforeAutospacing="0" w:after="0" w:afterAutospacing="0"/>
              <w:jc w:val="center"/>
              <w:rPr>
                <w:rFonts w:ascii="Calibri" w:hAnsi="Calibri" w:cs="Calibri"/>
                <w:sz w:val="22"/>
                <w:szCs w:val="22"/>
              </w:rPr>
            </w:pPr>
            <w:r w:rsidRPr="008B40F7">
              <w:rPr>
                <w:rFonts w:ascii="Wingdings" w:eastAsia="Wingdings" w:hAnsi="Wingdings" w:cs="Wingdings"/>
                <w:color w:val="FF0000"/>
                <w:sz w:val="36"/>
                <w:szCs w:val="36"/>
              </w:rPr>
              <w:t>û</w:t>
            </w:r>
          </w:p>
        </w:tc>
        <w:tc>
          <w:tcPr>
            <w:tcW w:w="976" w:type="dxa"/>
            <w:shd w:val="clear" w:color="auto" w:fill="auto"/>
          </w:tcPr>
          <w:p w14:paraId="06E08454" w14:textId="77777777" w:rsidR="003D0F36" w:rsidRPr="008B40F7" w:rsidRDefault="003D0F36" w:rsidP="008B40F7">
            <w:pPr>
              <w:pStyle w:val="ah5sec"/>
              <w:keepNext/>
              <w:spacing w:before="240" w:beforeAutospacing="0" w:after="0" w:afterAutospacing="0"/>
              <w:jc w:val="center"/>
              <w:rPr>
                <w:rFonts w:ascii="Calibri" w:hAnsi="Calibri" w:cs="Calibri"/>
                <w:sz w:val="22"/>
                <w:szCs w:val="22"/>
              </w:rPr>
            </w:pPr>
            <w:r w:rsidRPr="008B40F7">
              <w:rPr>
                <w:rFonts w:ascii="Wingdings" w:eastAsia="Wingdings" w:hAnsi="Wingdings" w:cs="Wingdings"/>
                <w:color w:val="00B050"/>
                <w:sz w:val="36"/>
                <w:szCs w:val="36"/>
              </w:rPr>
              <w:t>ü</w:t>
            </w:r>
          </w:p>
        </w:tc>
      </w:tr>
      <w:tr w:rsidR="003D0F36" w14:paraId="43B5EA6E" w14:textId="77777777" w:rsidTr="006551D7">
        <w:trPr>
          <w:trHeight w:val="836"/>
        </w:trPr>
        <w:tc>
          <w:tcPr>
            <w:tcW w:w="1613" w:type="dxa"/>
            <w:shd w:val="clear" w:color="auto" w:fill="002060"/>
          </w:tcPr>
          <w:p w14:paraId="57394A58" w14:textId="43D0D277" w:rsidR="003D0F36" w:rsidRPr="008B40F7" w:rsidRDefault="003D0F36" w:rsidP="008B40F7">
            <w:pPr>
              <w:pStyle w:val="ah5sec"/>
              <w:spacing w:before="240" w:beforeAutospacing="0" w:after="0" w:afterAutospacing="0"/>
              <w:jc w:val="center"/>
              <w:rPr>
                <w:rFonts w:ascii="Calibri" w:hAnsi="Calibri" w:cs="Calibri"/>
                <w:b/>
                <w:bCs/>
                <w:color w:val="FFFFFF"/>
                <w:sz w:val="22"/>
                <w:szCs w:val="22"/>
                <w:highlight w:val="yellow"/>
              </w:rPr>
            </w:pPr>
            <w:r w:rsidRPr="008B40F7">
              <w:rPr>
                <w:rFonts w:ascii="Calibri" w:hAnsi="Calibri" w:cs="Calibri"/>
                <w:b/>
                <w:bCs/>
                <w:color w:val="FFFFFF"/>
                <w:sz w:val="22"/>
                <w:szCs w:val="22"/>
              </w:rPr>
              <w:t xml:space="preserve">Civil </w:t>
            </w:r>
            <w:r w:rsidR="00732D05">
              <w:rPr>
                <w:rFonts w:ascii="Calibri" w:hAnsi="Calibri" w:cs="Calibri"/>
                <w:b/>
                <w:bCs/>
                <w:color w:val="FFFFFF"/>
                <w:sz w:val="22"/>
                <w:szCs w:val="22"/>
              </w:rPr>
              <w:t xml:space="preserve">pecuniary penalties </w:t>
            </w:r>
          </w:p>
        </w:tc>
        <w:tc>
          <w:tcPr>
            <w:tcW w:w="979" w:type="dxa"/>
            <w:shd w:val="clear" w:color="auto" w:fill="auto"/>
          </w:tcPr>
          <w:p w14:paraId="4BE5F8D8" w14:textId="77777777" w:rsidR="003D0F36" w:rsidRPr="008B40F7" w:rsidRDefault="003D0F36" w:rsidP="008B40F7">
            <w:pPr>
              <w:pStyle w:val="ah5sec"/>
              <w:spacing w:before="240" w:beforeAutospacing="0" w:after="0" w:afterAutospacing="0"/>
              <w:jc w:val="center"/>
              <w:rPr>
                <w:rFonts w:ascii="Calibri" w:hAnsi="Calibri" w:cs="Calibri"/>
                <w:color w:val="FF0000"/>
                <w:sz w:val="36"/>
                <w:szCs w:val="36"/>
                <w:highlight w:val="yellow"/>
              </w:rPr>
            </w:pPr>
            <w:r w:rsidRPr="008B40F7">
              <w:rPr>
                <w:rFonts w:ascii="Wingdings" w:eastAsia="Wingdings" w:hAnsi="Wingdings" w:cs="Wingdings"/>
                <w:color w:val="FF0000"/>
                <w:sz w:val="36"/>
                <w:szCs w:val="36"/>
              </w:rPr>
              <w:t>û</w:t>
            </w:r>
          </w:p>
        </w:tc>
        <w:tc>
          <w:tcPr>
            <w:tcW w:w="1007" w:type="dxa"/>
            <w:shd w:val="clear" w:color="auto" w:fill="auto"/>
          </w:tcPr>
          <w:p w14:paraId="50885F5E" w14:textId="77777777" w:rsidR="003D0F36" w:rsidRPr="008B40F7" w:rsidRDefault="003D0F36" w:rsidP="008B40F7">
            <w:pPr>
              <w:pStyle w:val="ah5sec"/>
              <w:spacing w:before="240" w:beforeAutospacing="0" w:after="0" w:afterAutospacing="0"/>
              <w:jc w:val="center"/>
              <w:rPr>
                <w:rFonts w:ascii="Calibri" w:hAnsi="Calibri" w:cs="Calibri"/>
                <w:sz w:val="22"/>
                <w:szCs w:val="22"/>
              </w:rPr>
            </w:pPr>
            <w:r w:rsidRPr="008B40F7">
              <w:rPr>
                <w:rFonts w:ascii="Wingdings" w:eastAsia="Wingdings" w:hAnsi="Wingdings" w:cs="Wingdings"/>
                <w:color w:val="00B050"/>
                <w:sz w:val="36"/>
                <w:szCs w:val="36"/>
              </w:rPr>
              <w:t>ü</w:t>
            </w:r>
          </w:p>
        </w:tc>
        <w:tc>
          <w:tcPr>
            <w:tcW w:w="1088" w:type="dxa"/>
            <w:shd w:val="clear" w:color="auto" w:fill="auto"/>
          </w:tcPr>
          <w:p w14:paraId="1ABF7E61" w14:textId="77777777" w:rsidR="003D0F36" w:rsidRPr="008B40F7" w:rsidRDefault="003D0F36" w:rsidP="008B40F7">
            <w:pPr>
              <w:pStyle w:val="ah5sec"/>
              <w:spacing w:before="240" w:beforeAutospacing="0" w:after="0" w:afterAutospacing="0"/>
              <w:jc w:val="center"/>
              <w:rPr>
                <w:rFonts w:ascii="Calibri" w:hAnsi="Calibri" w:cs="Calibri"/>
                <w:sz w:val="22"/>
                <w:szCs w:val="22"/>
                <w:highlight w:val="yellow"/>
              </w:rPr>
            </w:pPr>
            <w:r w:rsidRPr="008B40F7">
              <w:rPr>
                <w:rFonts w:ascii="Wingdings" w:eastAsia="Wingdings" w:hAnsi="Wingdings" w:cs="Wingdings"/>
                <w:color w:val="00B050"/>
                <w:sz w:val="36"/>
                <w:szCs w:val="36"/>
              </w:rPr>
              <w:t>ü</w:t>
            </w:r>
          </w:p>
        </w:tc>
        <w:tc>
          <w:tcPr>
            <w:tcW w:w="986" w:type="dxa"/>
            <w:shd w:val="clear" w:color="auto" w:fill="auto"/>
          </w:tcPr>
          <w:p w14:paraId="3F6011ED" w14:textId="77777777" w:rsidR="003D0F36" w:rsidRPr="008B40F7" w:rsidRDefault="003D0F36" w:rsidP="008B40F7">
            <w:pPr>
              <w:pStyle w:val="ah5sec"/>
              <w:spacing w:before="240" w:beforeAutospacing="0" w:after="0" w:afterAutospacing="0"/>
              <w:jc w:val="center"/>
              <w:rPr>
                <w:rFonts w:ascii="Calibri" w:hAnsi="Calibri" w:cs="Calibri"/>
                <w:sz w:val="22"/>
                <w:szCs w:val="22"/>
                <w:highlight w:val="yellow"/>
              </w:rPr>
            </w:pPr>
            <w:r w:rsidRPr="008B40F7">
              <w:rPr>
                <w:rFonts w:ascii="Wingdings" w:eastAsia="Wingdings" w:hAnsi="Wingdings" w:cs="Wingdings"/>
                <w:color w:val="00B050"/>
                <w:sz w:val="36"/>
                <w:szCs w:val="36"/>
              </w:rPr>
              <w:t>ü</w:t>
            </w:r>
          </w:p>
        </w:tc>
        <w:tc>
          <w:tcPr>
            <w:tcW w:w="1140" w:type="dxa"/>
            <w:shd w:val="clear" w:color="auto" w:fill="auto"/>
          </w:tcPr>
          <w:p w14:paraId="639C7DE6" w14:textId="77777777" w:rsidR="003D0F36" w:rsidRPr="008B40F7" w:rsidRDefault="003D0F36" w:rsidP="008B40F7">
            <w:pPr>
              <w:pStyle w:val="ah5sec"/>
              <w:spacing w:before="240" w:beforeAutospacing="0" w:after="0" w:afterAutospacing="0"/>
              <w:jc w:val="center"/>
              <w:rPr>
                <w:rFonts w:ascii="Calibri" w:hAnsi="Calibri" w:cs="Calibri"/>
                <w:sz w:val="22"/>
                <w:szCs w:val="22"/>
                <w:highlight w:val="yellow"/>
              </w:rPr>
            </w:pPr>
            <w:r w:rsidRPr="008B40F7">
              <w:rPr>
                <w:rFonts w:ascii="Wingdings" w:eastAsia="Wingdings" w:hAnsi="Wingdings" w:cs="Wingdings"/>
                <w:color w:val="00B050"/>
                <w:sz w:val="36"/>
                <w:szCs w:val="36"/>
              </w:rPr>
              <w:t>ü</w:t>
            </w:r>
          </w:p>
        </w:tc>
        <w:tc>
          <w:tcPr>
            <w:tcW w:w="947" w:type="dxa"/>
            <w:shd w:val="clear" w:color="auto" w:fill="auto"/>
          </w:tcPr>
          <w:p w14:paraId="0596C15E" w14:textId="77777777" w:rsidR="003D0F36" w:rsidRPr="008B40F7" w:rsidRDefault="003D0F36" w:rsidP="008B40F7">
            <w:pPr>
              <w:pStyle w:val="ah5sec"/>
              <w:spacing w:before="240" w:beforeAutospacing="0" w:after="0" w:afterAutospacing="0"/>
              <w:jc w:val="center"/>
              <w:rPr>
                <w:rFonts w:ascii="Calibri" w:hAnsi="Calibri" w:cs="Calibri"/>
                <w:sz w:val="22"/>
                <w:szCs w:val="22"/>
                <w:highlight w:val="yellow"/>
              </w:rPr>
            </w:pPr>
            <w:r w:rsidRPr="008B40F7">
              <w:rPr>
                <w:rFonts w:ascii="Wingdings" w:eastAsia="Wingdings" w:hAnsi="Wingdings" w:cs="Wingdings"/>
                <w:color w:val="00B050"/>
                <w:sz w:val="36"/>
                <w:szCs w:val="36"/>
              </w:rPr>
              <w:t>ü</w:t>
            </w:r>
          </w:p>
        </w:tc>
        <w:tc>
          <w:tcPr>
            <w:tcW w:w="892" w:type="dxa"/>
            <w:shd w:val="clear" w:color="auto" w:fill="auto"/>
          </w:tcPr>
          <w:p w14:paraId="0384DA57" w14:textId="77777777" w:rsidR="003D0F36" w:rsidRPr="008B40F7" w:rsidRDefault="003D0F36" w:rsidP="008B40F7">
            <w:pPr>
              <w:pStyle w:val="ah5sec"/>
              <w:spacing w:before="240" w:beforeAutospacing="0" w:after="0" w:afterAutospacing="0"/>
              <w:jc w:val="center"/>
              <w:rPr>
                <w:rFonts w:ascii="Calibri" w:hAnsi="Calibri" w:cs="Calibri"/>
                <w:sz w:val="22"/>
                <w:szCs w:val="22"/>
                <w:highlight w:val="yellow"/>
              </w:rPr>
            </w:pPr>
            <w:r w:rsidRPr="008B40F7">
              <w:rPr>
                <w:rFonts w:ascii="Wingdings" w:eastAsia="Wingdings" w:hAnsi="Wingdings" w:cs="Wingdings"/>
                <w:color w:val="00B050"/>
                <w:sz w:val="36"/>
                <w:szCs w:val="36"/>
              </w:rPr>
              <w:t>ü</w:t>
            </w:r>
          </w:p>
        </w:tc>
        <w:tc>
          <w:tcPr>
            <w:tcW w:w="976" w:type="dxa"/>
            <w:shd w:val="clear" w:color="auto" w:fill="auto"/>
          </w:tcPr>
          <w:p w14:paraId="1AB8EF02" w14:textId="77777777" w:rsidR="003D0F36" w:rsidRPr="008B40F7" w:rsidRDefault="003D0F36" w:rsidP="008B40F7">
            <w:pPr>
              <w:pStyle w:val="ah5sec"/>
              <w:spacing w:before="240" w:beforeAutospacing="0" w:after="0" w:afterAutospacing="0"/>
              <w:jc w:val="center"/>
              <w:rPr>
                <w:rFonts w:ascii="Calibri" w:hAnsi="Calibri" w:cs="Calibri"/>
                <w:sz w:val="22"/>
                <w:szCs w:val="22"/>
                <w:highlight w:val="yellow"/>
              </w:rPr>
            </w:pPr>
            <w:r w:rsidRPr="008B40F7">
              <w:rPr>
                <w:rFonts w:ascii="Wingdings" w:eastAsia="Wingdings" w:hAnsi="Wingdings" w:cs="Wingdings"/>
                <w:color w:val="00B050"/>
                <w:sz w:val="36"/>
                <w:szCs w:val="36"/>
              </w:rPr>
              <w:t>ü</w:t>
            </w:r>
          </w:p>
        </w:tc>
      </w:tr>
    </w:tbl>
    <w:p w14:paraId="2DD09EC5" w14:textId="77777777" w:rsidR="001326BE" w:rsidRDefault="001326BE" w:rsidP="00D87A88">
      <w:pPr>
        <w:rPr>
          <w:rFonts w:ascii="Calibri" w:eastAsia="Calibri" w:hAnsi="Calibri"/>
          <w:lang w:eastAsia="en-US"/>
        </w:rPr>
      </w:pPr>
    </w:p>
    <w:p w14:paraId="422A3985" w14:textId="77777777" w:rsidR="001326BE" w:rsidRPr="00A14376" w:rsidRDefault="001326BE" w:rsidP="00D87A88">
      <w:pPr>
        <w:rPr>
          <w:rFonts w:ascii="Calibri" w:eastAsia="Calibri" w:hAnsi="Calibri"/>
          <w:lang w:eastAsia="en-US"/>
        </w:rPr>
      </w:pPr>
    </w:p>
    <w:tbl>
      <w:tblPr>
        <w:tblStyle w:val="TableGrid"/>
        <w:tblW w:w="0" w:type="auto"/>
        <w:tblLayout w:type="fixed"/>
        <w:tblLook w:val="06A0" w:firstRow="1" w:lastRow="0" w:firstColumn="1" w:lastColumn="0" w:noHBand="1" w:noVBand="1"/>
      </w:tblPr>
      <w:tblGrid>
        <w:gridCol w:w="9015"/>
      </w:tblGrid>
      <w:tr w:rsidR="28161178" w14:paraId="3BE13696" w14:textId="77777777" w:rsidTr="2F00E841">
        <w:trPr>
          <w:trHeight w:val="300"/>
        </w:trPr>
        <w:tc>
          <w:tcPr>
            <w:tcW w:w="9015" w:type="dxa"/>
            <w:shd w:val="clear" w:color="auto" w:fill="D9D9D9" w:themeFill="background1" w:themeFillShade="D9"/>
          </w:tcPr>
          <w:p w14:paraId="0BA5CF7E" w14:textId="77777777" w:rsidR="00942818" w:rsidRDefault="00942818" w:rsidP="002F3EF8">
            <w:pPr>
              <w:rPr>
                <w:rFonts w:asciiTheme="minorHAnsi" w:eastAsiaTheme="minorEastAsia" w:hAnsiTheme="minorHAnsi" w:cstheme="minorBidi"/>
                <w:b/>
                <w:bCs/>
              </w:rPr>
            </w:pPr>
          </w:p>
          <w:p w14:paraId="3F39250F" w14:textId="535F5752" w:rsidR="001A3A18" w:rsidRPr="001550B6" w:rsidRDefault="1770C107" w:rsidP="002F3EF8">
            <w:pPr>
              <w:rPr>
                <w:rFonts w:asciiTheme="minorHAnsi" w:eastAsiaTheme="minorEastAsia" w:hAnsiTheme="minorHAnsi" w:cstheme="minorBidi"/>
                <w:b/>
                <w:bCs/>
              </w:rPr>
            </w:pPr>
            <w:r w:rsidRPr="001550B6">
              <w:rPr>
                <w:rFonts w:asciiTheme="minorHAnsi" w:eastAsiaTheme="minorEastAsia" w:hAnsiTheme="minorHAnsi" w:cstheme="minorBidi"/>
                <w:b/>
                <w:bCs/>
              </w:rPr>
              <w:t>Consultation questions</w:t>
            </w:r>
            <w:r w:rsidR="001550B6">
              <w:rPr>
                <w:rFonts w:asciiTheme="minorHAnsi" w:eastAsiaTheme="minorEastAsia" w:hAnsiTheme="minorHAnsi" w:cstheme="minorBidi"/>
                <w:b/>
                <w:bCs/>
              </w:rPr>
              <w:t xml:space="preserve"> 2</w:t>
            </w:r>
            <w:r w:rsidR="005F62DF">
              <w:rPr>
                <w:rFonts w:asciiTheme="minorHAnsi" w:eastAsiaTheme="minorEastAsia" w:hAnsiTheme="minorHAnsi" w:cstheme="minorBidi"/>
                <w:b/>
                <w:bCs/>
              </w:rPr>
              <w:t>:</w:t>
            </w:r>
            <w:r w:rsidR="008011E8">
              <w:rPr>
                <w:rFonts w:asciiTheme="minorHAnsi" w:eastAsiaTheme="minorEastAsia" w:hAnsiTheme="minorHAnsi" w:cstheme="minorBidi"/>
                <w:b/>
                <w:bCs/>
              </w:rPr>
              <w:t xml:space="preserve"> </w:t>
            </w:r>
            <w:r w:rsidR="41402BF3" w:rsidRPr="001550B6">
              <w:rPr>
                <w:rFonts w:asciiTheme="minorHAnsi" w:eastAsiaTheme="minorEastAsia" w:hAnsiTheme="minorHAnsi" w:cstheme="minorBidi"/>
                <w:b/>
                <w:bCs/>
              </w:rPr>
              <w:t>Benchmarking approaches from other Australian jurisdictions</w:t>
            </w:r>
          </w:p>
          <w:p w14:paraId="6DAD28E7" w14:textId="6BF5EFE5" w:rsidR="008C450F" w:rsidRPr="006F386D" w:rsidRDefault="008C450F" w:rsidP="006551D7">
            <w:pPr>
              <w:pStyle w:val="Header"/>
              <w:keepNext/>
              <w:keepLines/>
              <w:widowControl/>
              <w:numPr>
                <w:ilvl w:val="0"/>
                <w:numId w:val="33"/>
              </w:numPr>
              <w:tabs>
                <w:tab w:val="clear" w:pos="4320"/>
                <w:tab w:val="clear" w:pos="8640"/>
              </w:tabs>
              <w:contextualSpacing/>
              <w:rPr>
                <w:rFonts w:ascii="Calibri" w:hAnsi="Calibri" w:cs="Arial"/>
                <w:lang w:val="en-AU"/>
              </w:rPr>
            </w:pPr>
            <w:r>
              <w:rPr>
                <w:rFonts w:ascii="Calibri" w:hAnsi="Calibri" w:cs="Arial"/>
                <w:lang w:val="en-AU"/>
              </w:rPr>
              <w:t>How could the ICRC’s</w:t>
            </w:r>
            <w:r w:rsidRPr="2F00E841">
              <w:rPr>
                <w:rFonts w:ascii="Calibri" w:hAnsi="Calibri" w:cs="Arial"/>
                <w:lang w:val="en-AU"/>
              </w:rPr>
              <w:t xml:space="preserve"> enforcement powers </w:t>
            </w:r>
            <w:r>
              <w:rPr>
                <w:rFonts w:ascii="Calibri" w:hAnsi="Calibri" w:cs="Arial"/>
                <w:lang w:val="en-AU"/>
              </w:rPr>
              <w:t xml:space="preserve">be improved to deliver better </w:t>
            </w:r>
            <w:r w:rsidRPr="2F00E841">
              <w:rPr>
                <w:rFonts w:ascii="Calibri" w:hAnsi="Calibri" w:cs="Arial"/>
                <w:lang w:val="en-AU"/>
              </w:rPr>
              <w:t xml:space="preserve">outcomes for consumers? </w:t>
            </w:r>
          </w:p>
          <w:p w14:paraId="0BBB09D0" w14:textId="4877185B" w:rsidR="4A9032CD" w:rsidRDefault="4A9032CD" w:rsidP="2F00E841">
            <w:pPr>
              <w:pStyle w:val="Header"/>
              <w:widowControl/>
              <w:tabs>
                <w:tab w:val="clear" w:pos="4320"/>
                <w:tab w:val="clear" w:pos="8640"/>
              </w:tabs>
              <w:contextualSpacing/>
              <w:rPr>
                <w:rFonts w:ascii="Calibri" w:hAnsi="Calibri" w:cs="Arial"/>
                <w:lang w:val="en-AU"/>
              </w:rPr>
            </w:pPr>
          </w:p>
        </w:tc>
      </w:tr>
    </w:tbl>
    <w:p w14:paraId="5B82670E" w14:textId="550C8166" w:rsidR="007E3BFC" w:rsidRDefault="007E3BFC" w:rsidP="006551D7"/>
    <w:p w14:paraId="146D609B" w14:textId="77777777" w:rsidR="006551D7" w:rsidRDefault="006551D7" w:rsidP="00B124A2">
      <w:pPr>
        <w:pStyle w:val="Heading1"/>
        <w:spacing w:before="0" w:after="240"/>
        <w:rPr>
          <w:szCs w:val="28"/>
        </w:rPr>
        <w:sectPr w:rsidR="006551D7" w:rsidSect="005A1C2C">
          <w:pgSz w:w="11906" w:h="16838"/>
          <w:pgMar w:top="1440" w:right="1440" w:bottom="1440" w:left="1440" w:header="708" w:footer="405" w:gutter="0"/>
          <w:cols w:space="708"/>
          <w:titlePg/>
          <w:docGrid w:linePitch="360"/>
        </w:sectPr>
      </w:pPr>
      <w:bookmarkStart w:id="32" w:name="_Toc64388891"/>
      <w:bookmarkStart w:id="33" w:name="_Toc65491628"/>
      <w:bookmarkStart w:id="34" w:name="_Toc146284768"/>
    </w:p>
    <w:p w14:paraId="5D94FECE" w14:textId="77777777" w:rsidR="008D4F8A" w:rsidRPr="00B124A2" w:rsidRDefault="00A15B9D" w:rsidP="00B124A2">
      <w:pPr>
        <w:pStyle w:val="Heading1"/>
        <w:spacing w:before="0" w:after="240"/>
        <w:rPr>
          <w:szCs w:val="28"/>
        </w:rPr>
      </w:pPr>
      <w:r>
        <w:rPr>
          <w:szCs w:val="28"/>
        </w:rPr>
        <w:lastRenderedPageBreak/>
        <w:t>4</w:t>
      </w:r>
      <w:r w:rsidR="009E1404" w:rsidRPr="00B124A2">
        <w:rPr>
          <w:szCs w:val="28"/>
        </w:rPr>
        <w:t xml:space="preserve">. </w:t>
      </w:r>
      <w:bookmarkEnd w:id="32"/>
      <w:bookmarkEnd w:id="33"/>
      <w:r w:rsidR="003D0F36">
        <w:rPr>
          <w:szCs w:val="28"/>
        </w:rPr>
        <w:t xml:space="preserve">The proposed changes </w:t>
      </w:r>
      <w:r w:rsidR="00A278C7">
        <w:rPr>
          <w:szCs w:val="28"/>
        </w:rPr>
        <w:t>under consideration</w:t>
      </w:r>
      <w:bookmarkEnd w:id="34"/>
    </w:p>
    <w:p w14:paraId="38001A79" w14:textId="4E685680" w:rsidR="004436AC" w:rsidRDefault="003D0F36" w:rsidP="009E4161">
      <w:pPr>
        <w:suppressAutoHyphens/>
        <w:rPr>
          <w:rFonts w:ascii="Calibri" w:eastAsia="SimSun" w:hAnsi="Calibri"/>
          <w:color w:val="000000"/>
          <w:lang w:eastAsia="zh-CN"/>
        </w:rPr>
      </w:pPr>
      <w:bookmarkStart w:id="35" w:name="_Toc64388892"/>
      <w:bookmarkStart w:id="36" w:name="_Toc65491629"/>
      <w:r w:rsidRPr="1D8F48DA">
        <w:rPr>
          <w:rFonts w:ascii="Calibri" w:eastAsia="SimSun" w:hAnsi="Calibri"/>
          <w:color w:val="000000" w:themeColor="text1"/>
          <w:lang w:eastAsia="zh-CN"/>
        </w:rPr>
        <w:t xml:space="preserve">While the </w:t>
      </w:r>
      <w:r w:rsidR="004436AC" w:rsidRPr="1D8F48DA">
        <w:rPr>
          <w:rFonts w:ascii="Calibri" w:eastAsia="SimSun" w:hAnsi="Calibri"/>
          <w:color w:val="000000" w:themeColor="text1"/>
          <w:lang w:eastAsia="zh-CN"/>
        </w:rPr>
        <w:t xml:space="preserve">ICRC </w:t>
      </w:r>
      <w:r w:rsidRPr="1D8F48DA">
        <w:rPr>
          <w:rFonts w:ascii="Calibri" w:eastAsia="SimSun" w:hAnsi="Calibri"/>
          <w:color w:val="000000" w:themeColor="text1"/>
          <w:lang w:eastAsia="zh-CN"/>
        </w:rPr>
        <w:t xml:space="preserve">has successfully utilised informal enforcement to respond to </w:t>
      </w:r>
      <w:proofErr w:type="gramStart"/>
      <w:r w:rsidR="004436AC" w:rsidRPr="1D8F48DA">
        <w:rPr>
          <w:rFonts w:ascii="Calibri" w:eastAsia="SimSun" w:hAnsi="Calibri"/>
          <w:color w:val="000000" w:themeColor="text1"/>
          <w:lang w:eastAsia="zh-CN"/>
        </w:rPr>
        <w:t>a number of</w:t>
      </w:r>
      <w:proofErr w:type="gramEnd"/>
      <w:r w:rsidR="004436AC" w:rsidRPr="1D8F48DA">
        <w:rPr>
          <w:rFonts w:ascii="Calibri" w:eastAsia="SimSun" w:hAnsi="Calibri"/>
          <w:color w:val="000000" w:themeColor="text1"/>
          <w:lang w:eastAsia="zh-CN"/>
        </w:rPr>
        <w:t xml:space="preserve"> </w:t>
      </w:r>
      <w:r w:rsidR="19B48A99" w:rsidRPr="1D8F48DA">
        <w:rPr>
          <w:rFonts w:ascii="Calibri" w:eastAsia="SimSun" w:hAnsi="Calibri"/>
          <w:color w:val="000000" w:themeColor="text1"/>
          <w:lang w:eastAsia="zh-CN"/>
        </w:rPr>
        <w:t>breaches of the law</w:t>
      </w:r>
      <w:r w:rsidRPr="1D8F48DA">
        <w:rPr>
          <w:rFonts w:ascii="Calibri" w:eastAsia="SimSun" w:hAnsi="Calibri"/>
          <w:color w:val="000000" w:themeColor="text1"/>
          <w:lang w:eastAsia="zh-CN"/>
        </w:rPr>
        <w:t xml:space="preserve">, </w:t>
      </w:r>
      <w:r w:rsidRPr="1D8F48DA">
        <w:rPr>
          <w:rFonts w:ascii="Calibri" w:eastAsia="SimSun" w:hAnsi="Calibri"/>
          <w:b/>
          <w:bCs/>
          <w:color w:val="000000" w:themeColor="text1"/>
          <w:lang w:eastAsia="zh-CN"/>
        </w:rPr>
        <w:t xml:space="preserve">Table </w:t>
      </w:r>
      <w:r w:rsidR="005B55B7" w:rsidRPr="1D8F48DA">
        <w:rPr>
          <w:rFonts w:ascii="Calibri" w:eastAsia="SimSun" w:hAnsi="Calibri"/>
          <w:b/>
          <w:bCs/>
          <w:color w:val="000000" w:themeColor="text1"/>
          <w:lang w:eastAsia="zh-CN"/>
        </w:rPr>
        <w:t>3</w:t>
      </w:r>
      <w:r w:rsidRPr="1D8F48DA">
        <w:rPr>
          <w:rFonts w:ascii="Calibri" w:eastAsia="SimSun" w:hAnsi="Calibri"/>
          <w:b/>
          <w:bCs/>
          <w:color w:val="000000" w:themeColor="text1"/>
          <w:lang w:eastAsia="zh-CN"/>
        </w:rPr>
        <w:t>.2</w:t>
      </w:r>
      <w:r w:rsidRPr="1D8F48DA">
        <w:rPr>
          <w:rFonts w:ascii="Calibri" w:eastAsia="SimSun" w:hAnsi="Calibri"/>
          <w:color w:val="000000" w:themeColor="text1"/>
          <w:lang w:eastAsia="zh-CN"/>
        </w:rPr>
        <w:t xml:space="preserve"> indicates that overall compliance </w:t>
      </w:r>
      <w:r w:rsidR="001F4498">
        <w:rPr>
          <w:rFonts w:ascii="Calibri" w:eastAsia="SimSun" w:hAnsi="Calibri"/>
          <w:color w:val="000000" w:themeColor="text1"/>
          <w:lang w:eastAsia="zh-CN"/>
        </w:rPr>
        <w:t>remains an issue</w:t>
      </w:r>
      <w:r w:rsidRPr="1D8F48DA">
        <w:rPr>
          <w:rFonts w:ascii="Calibri" w:eastAsia="SimSun" w:hAnsi="Calibri"/>
          <w:color w:val="000000" w:themeColor="text1"/>
          <w:lang w:eastAsia="zh-CN"/>
        </w:rPr>
        <w:t xml:space="preserve">. </w:t>
      </w:r>
      <w:r w:rsidR="009E4161" w:rsidRPr="1D8F48DA">
        <w:rPr>
          <w:rFonts w:ascii="Calibri" w:eastAsia="SimSun" w:hAnsi="Calibri"/>
          <w:color w:val="000000" w:themeColor="text1"/>
          <w:lang w:eastAsia="zh-CN"/>
        </w:rPr>
        <w:t>Some</w:t>
      </w:r>
      <w:r w:rsidR="004436AC" w:rsidRPr="1D8F48DA">
        <w:rPr>
          <w:rFonts w:ascii="Calibri" w:eastAsia="SimSun" w:hAnsi="Calibri"/>
          <w:color w:val="000000" w:themeColor="text1"/>
          <w:lang w:eastAsia="zh-CN"/>
        </w:rPr>
        <w:t xml:space="preserve"> complaints in relation to </w:t>
      </w:r>
      <w:r w:rsidR="63D1C72C" w:rsidRPr="1D8F48DA">
        <w:rPr>
          <w:rFonts w:ascii="Calibri" w:eastAsia="SimSun" w:hAnsi="Calibri"/>
          <w:color w:val="000000" w:themeColor="text1"/>
          <w:lang w:eastAsia="zh-CN"/>
        </w:rPr>
        <w:t>general service level obligations</w:t>
      </w:r>
      <w:r w:rsidR="004436AC" w:rsidRPr="1D8F48DA">
        <w:rPr>
          <w:rFonts w:ascii="Calibri" w:eastAsia="SimSun" w:hAnsi="Calibri"/>
          <w:color w:val="000000" w:themeColor="text1"/>
          <w:lang w:eastAsia="zh-CN"/>
        </w:rPr>
        <w:t xml:space="preserve"> have not been able to be resolved in a timely way under the present system where criminal prosecutions are the </w:t>
      </w:r>
      <w:r w:rsidR="009E4161" w:rsidRPr="1D8F48DA">
        <w:rPr>
          <w:rFonts w:ascii="Calibri" w:eastAsia="SimSun" w:hAnsi="Calibri"/>
          <w:color w:val="000000" w:themeColor="text1"/>
          <w:lang w:eastAsia="zh-CN"/>
        </w:rPr>
        <w:t xml:space="preserve">only available </w:t>
      </w:r>
      <w:r w:rsidR="004436AC" w:rsidRPr="1D8F48DA">
        <w:rPr>
          <w:rFonts w:ascii="Calibri" w:eastAsia="SimSun" w:hAnsi="Calibri"/>
          <w:color w:val="000000" w:themeColor="text1"/>
          <w:lang w:eastAsia="zh-CN"/>
        </w:rPr>
        <w:t>path to address matters that cannot be resolved with the utility or energy retailer.</w:t>
      </w:r>
    </w:p>
    <w:p w14:paraId="77047489" w14:textId="77777777" w:rsidR="009E4161" w:rsidRDefault="009E4161" w:rsidP="00E659D6">
      <w:pPr>
        <w:suppressAutoHyphens/>
        <w:rPr>
          <w:rFonts w:ascii="Calibri" w:eastAsia="SimSun" w:hAnsi="Calibri"/>
          <w:color w:val="000000"/>
          <w:lang w:eastAsia="zh-CN"/>
        </w:rPr>
      </w:pPr>
    </w:p>
    <w:p w14:paraId="00F7B125" w14:textId="4B5E81DB" w:rsidR="003D0F36" w:rsidRDefault="003D0F36" w:rsidP="009E4161">
      <w:pPr>
        <w:suppressAutoHyphens/>
        <w:rPr>
          <w:rFonts w:ascii="Calibri" w:eastAsia="SimSun" w:hAnsi="Calibri"/>
          <w:color w:val="000000"/>
          <w:lang w:eastAsia="zh-CN"/>
        </w:rPr>
      </w:pPr>
      <w:r w:rsidRPr="003D0F36">
        <w:rPr>
          <w:rFonts w:ascii="Calibri" w:eastAsia="SimSun" w:hAnsi="Calibri"/>
          <w:color w:val="000000"/>
          <w:lang w:eastAsia="zh-CN"/>
        </w:rPr>
        <w:t xml:space="preserve">The regulatory approaches of other Australian jurisdictions indicate that the ACT could improve its regulation of utilities and energy retailers by introducing greater regulatory enforcement </w:t>
      </w:r>
      <w:r w:rsidR="00DD494D">
        <w:rPr>
          <w:rFonts w:ascii="Calibri" w:eastAsia="SimSun" w:hAnsi="Calibri"/>
          <w:color w:val="000000"/>
          <w:lang w:eastAsia="zh-CN"/>
        </w:rPr>
        <w:t>options</w:t>
      </w:r>
      <w:r w:rsidRPr="003D0F36">
        <w:rPr>
          <w:rFonts w:ascii="Calibri" w:eastAsia="SimSun" w:hAnsi="Calibri"/>
          <w:color w:val="000000"/>
          <w:lang w:eastAsia="zh-CN"/>
        </w:rPr>
        <w:t>.</w:t>
      </w:r>
    </w:p>
    <w:p w14:paraId="39539835" w14:textId="77777777" w:rsidR="009E4161" w:rsidRPr="003D0F36" w:rsidRDefault="009E4161" w:rsidP="00E659D6">
      <w:pPr>
        <w:suppressAutoHyphens/>
        <w:rPr>
          <w:rFonts w:ascii="Calibri" w:eastAsia="SimSun" w:hAnsi="Calibri"/>
          <w:color w:val="000000"/>
          <w:lang w:eastAsia="zh-CN"/>
        </w:rPr>
      </w:pPr>
    </w:p>
    <w:p w14:paraId="759C2AAB" w14:textId="77777777" w:rsidR="00DD494D" w:rsidRDefault="003D0F36" w:rsidP="00E659D6">
      <w:pPr>
        <w:suppressAutoHyphens/>
        <w:rPr>
          <w:rFonts w:ascii="Calibri" w:eastAsia="SimSun" w:hAnsi="Calibri"/>
          <w:color w:val="000000"/>
          <w:lang w:eastAsia="zh-CN"/>
        </w:rPr>
      </w:pPr>
      <w:r w:rsidRPr="009E4161">
        <w:rPr>
          <w:rFonts w:ascii="Calibri" w:eastAsia="SimSun" w:hAnsi="Calibri"/>
          <w:color w:val="000000"/>
          <w:lang w:eastAsia="zh-CN"/>
        </w:rPr>
        <w:t>The ACT Government is considering an update of the commission’s regulatory enforcement capacity. This update would align with other Australian jurisdictions and provide the commission with regulatory tools better suited to current and emerging issues.</w:t>
      </w:r>
      <w:r w:rsidRPr="00E659D6">
        <w:rPr>
          <w:rFonts w:ascii="Calibri" w:eastAsia="SimSun" w:hAnsi="Calibri"/>
          <w:color w:val="000000"/>
          <w:lang w:eastAsia="zh-CN"/>
        </w:rPr>
        <w:t xml:space="preserve"> </w:t>
      </w:r>
    </w:p>
    <w:p w14:paraId="2C8BDB62" w14:textId="77777777" w:rsidR="00DD494D" w:rsidRDefault="00DD494D" w:rsidP="00E659D6">
      <w:pPr>
        <w:suppressAutoHyphens/>
        <w:rPr>
          <w:rFonts w:ascii="Calibri" w:eastAsia="SimSun" w:hAnsi="Calibri"/>
          <w:color w:val="000000"/>
          <w:lang w:eastAsia="zh-CN"/>
        </w:rPr>
      </w:pPr>
    </w:p>
    <w:p w14:paraId="5702F2D5" w14:textId="031DE2A1" w:rsidR="009E4161" w:rsidRDefault="003D0F36" w:rsidP="00E659D6">
      <w:pPr>
        <w:suppressAutoHyphens/>
        <w:rPr>
          <w:rFonts w:ascii="Calibri" w:eastAsia="SimSun" w:hAnsi="Calibri"/>
          <w:color w:val="000000"/>
          <w:lang w:eastAsia="zh-CN"/>
        </w:rPr>
      </w:pPr>
      <w:r w:rsidRPr="00E659D6">
        <w:rPr>
          <w:rFonts w:ascii="Calibri" w:eastAsia="SimSun" w:hAnsi="Calibri"/>
          <w:color w:val="000000"/>
          <w:lang w:eastAsia="zh-CN"/>
        </w:rPr>
        <w:t>The following enforcement avenues are being considered:</w:t>
      </w:r>
    </w:p>
    <w:p w14:paraId="66BDA467" w14:textId="21CF007B" w:rsidR="009F3B18" w:rsidRDefault="003D0F36" w:rsidP="00E659D6">
      <w:pPr>
        <w:numPr>
          <w:ilvl w:val="0"/>
          <w:numId w:val="13"/>
        </w:numPr>
        <w:suppressAutoHyphens/>
        <w:ind w:left="714" w:hanging="357"/>
        <w:rPr>
          <w:rFonts w:ascii="Calibri" w:eastAsia="SimSun" w:hAnsi="Calibri"/>
          <w:color w:val="000000"/>
          <w:lang w:eastAsia="zh-CN"/>
        </w:rPr>
      </w:pPr>
      <w:r w:rsidRPr="1D8F48DA">
        <w:rPr>
          <w:rFonts w:ascii="Calibri" w:eastAsia="SimSun" w:hAnsi="Calibri"/>
          <w:color w:val="000000" w:themeColor="text1"/>
          <w:lang w:eastAsia="en-US"/>
        </w:rPr>
        <w:t xml:space="preserve">power to accept enforceable undertakings from utilities and </w:t>
      </w:r>
      <w:r w:rsidR="004436AC" w:rsidRPr="1D8F48DA">
        <w:rPr>
          <w:rFonts w:ascii="Calibri" w:eastAsia="SimSun" w:hAnsi="Calibri"/>
          <w:color w:val="000000" w:themeColor="text1"/>
          <w:lang w:eastAsia="en-US"/>
        </w:rPr>
        <w:t xml:space="preserve">energy </w:t>
      </w:r>
      <w:r w:rsidRPr="1D8F48DA">
        <w:rPr>
          <w:rFonts w:ascii="Calibri" w:eastAsia="SimSun" w:hAnsi="Calibri"/>
          <w:color w:val="000000" w:themeColor="text1"/>
          <w:lang w:eastAsia="en-US"/>
        </w:rPr>
        <w:t>retailers</w:t>
      </w:r>
      <w:r w:rsidR="009F3B18" w:rsidRPr="1D8F48DA">
        <w:rPr>
          <w:rFonts w:ascii="Calibri" w:eastAsia="SimSun" w:hAnsi="Calibri"/>
          <w:color w:val="000000" w:themeColor="text1"/>
          <w:lang w:eastAsia="en-US"/>
        </w:rPr>
        <w:t xml:space="preserve">; </w:t>
      </w:r>
    </w:p>
    <w:p w14:paraId="2F6ABCA8" w14:textId="3E0ABC23" w:rsidR="009F3B18" w:rsidRDefault="6BB54830" w:rsidP="00E659D6">
      <w:pPr>
        <w:numPr>
          <w:ilvl w:val="0"/>
          <w:numId w:val="13"/>
        </w:numPr>
        <w:suppressAutoHyphens/>
        <w:ind w:left="714" w:hanging="357"/>
        <w:rPr>
          <w:rFonts w:ascii="Calibri" w:eastAsia="SimSun" w:hAnsi="Calibri"/>
          <w:color w:val="000000"/>
          <w:lang w:eastAsia="zh-CN"/>
        </w:rPr>
      </w:pPr>
      <w:r w:rsidRPr="19BEA1DC">
        <w:rPr>
          <w:rFonts w:ascii="Calibri" w:eastAsia="SimSun" w:hAnsi="Calibri"/>
          <w:color w:val="000000" w:themeColor="text1"/>
          <w:lang w:eastAsia="en-US"/>
        </w:rPr>
        <w:t xml:space="preserve">power to an issue infringement notice; </w:t>
      </w:r>
    </w:p>
    <w:p w14:paraId="2CD45857" w14:textId="287440ED" w:rsidR="004436AC" w:rsidRDefault="003D0F36" w:rsidP="00E659D6">
      <w:pPr>
        <w:numPr>
          <w:ilvl w:val="0"/>
          <w:numId w:val="13"/>
        </w:numPr>
        <w:suppressAutoHyphens/>
        <w:ind w:left="714" w:hanging="357"/>
        <w:rPr>
          <w:rFonts w:ascii="Calibri" w:eastAsia="SimSun" w:hAnsi="Calibri"/>
          <w:color w:val="000000"/>
          <w:lang w:eastAsia="zh-CN"/>
        </w:rPr>
      </w:pPr>
      <w:r w:rsidRPr="19BEA1DC">
        <w:rPr>
          <w:rFonts w:ascii="Calibri" w:eastAsia="SimSun" w:hAnsi="Calibri"/>
          <w:color w:val="000000" w:themeColor="text1"/>
          <w:lang w:eastAsia="en-US"/>
        </w:rPr>
        <w:t xml:space="preserve">updating the Utilities Act to include civil law remedies and </w:t>
      </w:r>
      <w:r w:rsidR="004436AC" w:rsidRPr="19BEA1DC">
        <w:rPr>
          <w:rFonts w:ascii="Calibri" w:eastAsia="SimSun" w:hAnsi="Calibri"/>
          <w:color w:val="000000" w:themeColor="text1"/>
          <w:lang w:eastAsia="en-US"/>
        </w:rPr>
        <w:t xml:space="preserve">civil pecuniary penalties </w:t>
      </w:r>
      <w:r w:rsidR="009F03C2" w:rsidRPr="19BEA1DC">
        <w:rPr>
          <w:rFonts w:ascii="Calibri" w:eastAsia="SimSun" w:hAnsi="Calibri"/>
          <w:color w:val="000000" w:themeColor="text1"/>
          <w:lang w:eastAsia="en-US"/>
        </w:rPr>
        <w:t xml:space="preserve">that bring parity to sanctions in the ACT as comparable jurisdictions, while maintaining </w:t>
      </w:r>
      <w:r w:rsidRPr="19BEA1DC">
        <w:rPr>
          <w:rFonts w:ascii="Calibri" w:eastAsia="SimSun" w:hAnsi="Calibri"/>
          <w:color w:val="000000" w:themeColor="text1"/>
          <w:lang w:eastAsia="en-US"/>
        </w:rPr>
        <w:t>criminal law sanctions</w:t>
      </w:r>
      <w:r w:rsidR="004436AC" w:rsidRPr="19BEA1DC">
        <w:rPr>
          <w:rFonts w:ascii="Calibri" w:eastAsia="SimSun" w:hAnsi="Calibri"/>
          <w:color w:val="000000" w:themeColor="text1"/>
          <w:lang w:eastAsia="en-US"/>
        </w:rPr>
        <w:t>;</w:t>
      </w:r>
      <w:r w:rsidR="26850022" w:rsidRPr="19BEA1DC">
        <w:rPr>
          <w:rFonts w:ascii="Calibri" w:eastAsia="SimSun" w:hAnsi="Calibri"/>
          <w:color w:val="000000" w:themeColor="text1"/>
          <w:lang w:eastAsia="en-US"/>
        </w:rPr>
        <w:t xml:space="preserve"> and</w:t>
      </w:r>
    </w:p>
    <w:p w14:paraId="694DDD3E" w14:textId="77777777" w:rsidR="003D0F36" w:rsidRPr="003D0F36" w:rsidRDefault="004436AC" w:rsidP="00E659D6">
      <w:pPr>
        <w:numPr>
          <w:ilvl w:val="0"/>
          <w:numId w:val="13"/>
        </w:numPr>
        <w:suppressAutoHyphens/>
        <w:ind w:left="714" w:hanging="357"/>
        <w:rPr>
          <w:rFonts w:ascii="Calibri" w:eastAsia="SimSun" w:hAnsi="Calibri"/>
          <w:color w:val="000000"/>
          <w:lang w:eastAsia="zh-CN"/>
        </w:rPr>
      </w:pPr>
      <w:r w:rsidRPr="19BEA1DC">
        <w:rPr>
          <w:rFonts w:ascii="Calibri" w:eastAsia="SimSun" w:hAnsi="Calibri"/>
          <w:color w:val="000000" w:themeColor="text1"/>
          <w:lang w:eastAsia="en-US"/>
        </w:rPr>
        <w:t>increasing the level of criminal</w:t>
      </w:r>
      <w:r w:rsidR="009F03C2" w:rsidRPr="19BEA1DC">
        <w:rPr>
          <w:rFonts w:ascii="Calibri" w:eastAsia="SimSun" w:hAnsi="Calibri"/>
          <w:color w:val="000000" w:themeColor="text1"/>
          <w:lang w:eastAsia="en-US"/>
        </w:rPr>
        <w:t xml:space="preserve"> fines to equal the level of civil pecuniary penalties, understanding that a finding of a criminal liability, where an offence is established beyond reasonable doubt, an individuals may be imprisoned, would be reserved for the most serious contraventions</w:t>
      </w:r>
      <w:r w:rsidR="003D0F36" w:rsidRPr="19BEA1DC">
        <w:rPr>
          <w:rFonts w:ascii="Calibri" w:eastAsia="SimSun" w:hAnsi="Calibri"/>
          <w:color w:val="000000" w:themeColor="text1"/>
          <w:lang w:eastAsia="en-US"/>
        </w:rPr>
        <w:t>.</w:t>
      </w:r>
    </w:p>
    <w:p w14:paraId="6B2D72FB" w14:textId="6C5FE673" w:rsidR="003D0F36" w:rsidRPr="003D0F36" w:rsidRDefault="009F03C2" w:rsidP="003D0F36">
      <w:pPr>
        <w:suppressAutoHyphens/>
        <w:spacing w:before="180" w:after="80" w:line="260" w:lineRule="atLeast"/>
        <w:rPr>
          <w:rFonts w:ascii="Calibri" w:eastAsia="SimSun" w:hAnsi="Calibri"/>
          <w:color w:val="000000"/>
          <w:lang w:eastAsia="zh-CN"/>
        </w:rPr>
      </w:pPr>
      <w:r>
        <w:rPr>
          <w:rFonts w:ascii="Calibri" w:eastAsia="SimSun" w:hAnsi="Calibri"/>
          <w:color w:val="000000"/>
          <w:lang w:eastAsia="zh-CN"/>
        </w:rPr>
        <w:t>Should such a regime be available, the ICRC would look to exercise its enforcement discretion having regards to the likely impact of the alleged non-compliance and the</w:t>
      </w:r>
      <w:r w:rsidR="003D0F36" w:rsidRPr="003D0F36">
        <w:rPr>
          <w:rFonts w:ascii="Calibri" w:eastAsia="SimSun" w:hAnsi="Calibri"/>
          <w:color w:val="000000"/>
          <w:lang w:eastAsia="zh-CN"/>
        </w:rPr>
        <w:t xml:space="preserve"> entity’s attitude towards compliance</w:t>
      </w:r>
      <w:r w:rsidR="00752A11">
        <w:rPr>
          <w:rFonts w:ascii="Calibri" w:eastAsia="SimSun" w:hAnsi="Calibri"/>
          <w:color w:val="000000"/>
          <w:lang w:eastAsia="zh-CN"/>
        </w:rPr>
        <w:t xml:space="preserve">. Such an approach </w:t>
      </w:r>
      <w:r w:rsidR="009B7DD6">
        <w:rPr>
          <w:rFonts w:ascii="Calibri" w:eastAsia="SimSun" w:hAnsi="Calibri"/>
          <w:color w:val="000000"/>
          <w:lang w:eastAsia="zh-CN"/>
        </w:rPr>
        <w:t xml:space="preserve">to compliance is </w:t>
      </w:r>
      <w:r w:rsidR="000E74FE">
        <w:rPr>
          <w:rFonts w:ascii="Calibri" w:eastAsia="SimSun" w:hAnsi="Calibri"/>
          <w:color w:val="000000"/>
          <w:lang w:eastAsia="zh-CN"/>
        </w:rPr>
        <w:t>taken by other regulators</w:t>
      </w:r>
      <w:r w:rsidR="003D0F36" w:rsidRPr="003D0F36">
        <w:rPr>
          <w:rFonts w:ascii="Calibri" w:eastAsia="SimSun" w:hAnsi="Calibri"/>
          <w:color w:val="000000"/>
          <w:lang w:eastAsia="zh-CN"/>
        </w:rPr>
        <w:t>, as illustrated in the figure</w:t>
      </w:r>
      <w:r w:rsidR="009E4161">
        <w:rPr>
          <w:rFonts w:ascii="Calibri" w:eastAsia="SimSun" w:hAnsi="Calibri"/>
          <w:color w:val="000000"/>
          <w:lang w:eastAsia="zh-CN"/>
        </w:rPr>
        <w:t xml:space="preserve"> below</w:t>
      </w:r>
      <w:r w:rsidR="003D0F36" w:rsidRPr="003D0F36">
        <w:rPr>
          <w:rFonts w:ascii="Calibri" w:eastAsia="SimSun" w:hAnsi="Calibri"/>
          <w:color w:val="000000"/>
          <w:lang w:eastAsia="zh-CN"/>
        </w:rPr>
        <w:t>.</w:t>
      </w:r>
    </w:p>
    <w:p w14:paraId="49A0F0C2" w14:textId="74981A8F" w:rsidR="003D0F36" w:rsidRPr="003D0F36" w:rsidRDefault="003D0F36" w:rsidP="003D0F36">
      <w:pPr>
        <w:keepNext/>
        <w:suppressAutoHyphens/>
        <w:spacing w:before="180" w:after="80" w:line="260" w:lineRule="atLeast"/>
        <w:rPr>
          <w:rFonts w:ascii="Calibri" w:eastAsia="SimSun" w:hAnsi="Calibri"/>
          <w:color w:val="000000"/>
          <w:lang w:eastAsia="en-US"/>
        </w:rPr>
      </w:pPr>
      <w:bookmarkStart w:id="37" w:name="_Ref135321930"/>
      <w:bookmarkStart w:id="38" w:name="_Toc135831923"/>
      <w:r w:rsidRPr="003D0F36">
        <w:rPr>
          <w:rFonts w:ascii="Calibri" w:eastAsia="SimSun" w:hAnsi="Calibri"/>
          <w:b/>
          <w:bCs/>
          <w:color w:val="000000"/>
          <w:lang w:eastAsia="zh-CN"/>
        </w:rPr>
        <w:lastRenderedPageBreak/>
        <w:t xml:space="preserve">Figure </w:t>
      </w:r>
      <w:r w:rsidRPr="003D0F36">
        <w:rPr>
          <w:rFonts w:ascii="Calibri" w:eastAsia="SimSun" w:hAnsi="Calibri"/>
          <w:b/>
          <w:color w:val="000000"/>
          <w:shd w:val="clear" w:color="auto" w:fill="E6E6E6"/>
          <w:lang w:eastAsia="zh-CN"/>
        </w:rPr>
        <w:fldChar w:fldCharType="begin"/>
      </w:r>
      <w:r w:rsidRPr="003D0F36">
        <w:rPr>
          <w:rFonts w:ascii="Calibri" w:eastAsia="SimSun" w:hAnsi="Calibri"/>
          <w:b/>
          <w:bCs/>
          <w:color w:val="000000"/>
          <w:lang w:eastAsia="zh-CN"/>
        </w:rPr>
        <w:instrText xml:space="preserve"> SEQ Figure \* ARABIC </w:instrText>
      </w:r>
      <w:r w:rsidRPr="003D0F36">
        <w:rPr>
          <w:rFonts w:ascii="Calibri" w:eastAsia="SimSun" w:hAnsi="Calibri"/>
          <w:b/>
          <w:color w:val="000000"/>
          <w:shd w:val="clear" w:color="auto" w:fill="E6E6E6"/>
          <w:lang w:eastAsia="zh-CN"/>
        </w:rPr>
        <w:fldChar w:fldCharType="separate"/>
      </w:r>
      <w:r w:rsidR="006A4647">
        <w:rPr>
          <w:rFonts w:ascii="Calibri" w:eastAsia="SimSun" w:hAnsi="Calibri"/>
          <w:b/>
          <w:bCs/>
          <w:noProof/>
          <w:color w:val="000000"/>
          <w:lang w:eastAsia="zh-CN"/>
        </w:rPr>
        <w:t>1</w:t>
      </w:r>
      <w:r w:rsidRPr="003D0F36">
        <w:rPr>
          <w:rFonts w:ascii="Calibri" w:eastAsia="SimSun" w:hAnsi="Calibri"/>
          <w:b/>
          <w:color w:val="000000"/>
          <w:shd w:val="clear" w:color="auto" w:fill="E6E6E6"/>
          <w:lang w:eastAsia="zh-CN"/>
        </w:rPr>
        <w:fldChar w:fldCharType="end"/>
      </w:r>
      <w:bookmarkEnd w:id="37"/>
      <w:r w:rsidRPr="003D0F36">
        <w:rPr>
          <w:rFonts w:ascii="Calibri" w:eastAsia="SimSun" w:hAnsi="Calibri"/>
          <w:b/>
          <w:bCs/>
          <w:color w:val="000000"/>
          <w:lang w:eastAsia="zh-CN"/>
        </w:rPr>
        <w:t xml:space="preserve"> Regulation action pyramid</w:t>
      </w:r>
      <w:bookmarkEnd w:id="38"/>
    </w:p>
    <w:p w14:paraId="6286657E" w14:textId="59D23360" w:rsidR="003D0F36" w:rsidRDefault="00F4315C" w:rsidP="005B6619">
      <w:pPr>
        <w:keepNext/>
        <w:suppressAutoHyphens/>
        <w:spacing w:before="180" w:after="80" w:line="260" w:lineRule="atLeast"/>
        <w:jc w:val="center"/>
        <w:rPr>
          <w:rFonts w:ascii="Calibri" w:eastAsia="SimSun" w:hAnsi="Calibri"/>
          <w:color w:val="000000"/>
          <w:sz w:val="20"/>
          <w:szCs w:val="20"/>
          <w:lang w:eastAsia="en-US"/>
        </w:rPr>
      </w:pPr>
      <w:r>
        <w:rPr>
          <w:rFonts w:ascii="Calibri" w:eastAsia="SimSun" w:hAnsi="Calibri"/>
          <w:noProof/>
          <w:color w:val="000000"/>
          <w:shd w:val="clear" w:color="auto" w:fill="E6E6E6"/>
          <w:lang w:eastAsia="zh-CN"/>
        </w:rPr>
        <w:drawing>
          <wp:inline distT="0" distB="0" distL="0" distR="0" wp14:anchorId="7046E66D" wp14:editId="31A26736">
            <wp:extent cx="5400675" cy="3373896"/>
            <wp:effectExtent l="0" t="0" r="0" b="0"/>
            <wp:docPr id="1" name="Picture 1" descr="Compliance program | Your rights, crime and the law | Queensland Government"/>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0" name="Picture 1" descr="Compliance program | Your rights, crime and the law | Queensland Government"/>
                    <pic:cNvPicPr>
                      <a:picLocks noGrp="1"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454927" cy="3407788"/>
                    </a:xfrm>
                    <a:prstGeom prst="rect">
                      <a:avLst/>
                    </a:prstGeom>
                    <a:noFill/>
                    <a:ln>
                      <a:noFill/>
                    </a:ln>
                  </pic:spPr>
                </pic:pic>
              </a:graphicData>
            </a:graphic>
          </wp:inline>
        </w:drawing>
      </w:r>
      <w:r w:rsidR="009F3B18">
        <w:rPr>
          <w:rFonts w:ascii="Calibri" w:eastAsia="SimSun" w:hAnsi="Calibri"/>
          <w:color w:val="000000"/>
          <w:sz w:val="20"/>
          <w:szCs w:val="20"/>
          <w:lang w:eastAsia="en-US"/>
        </w:rPr>
        <w:t xml:space="preserve">               </w:t>
      </w:r>
    </w:p>
    <w:p w14:paraId="05087E56" w14:textId="31E35A9F" w:rsidR="006551D7" w:rsidRPr="006551D7" w:rsidRDefault="00F87240" w:rsidP="009F3B18">
      <w:pPr>
        <w:suppressAutoHyphens/>
        <w:spacing w:before="180" w:after="80" w:line="260" w:lineRule="atLeast"/>
        <w:rPr>
          <w:rFonts w:ascii="Segoe UI" w:hAnsi="Segoe UI" w:cs="Segoe UI"/>
          <w:color w:val="0000FF"/>
          <w:sz w:val="18"/>
          <w:szCs w:val="18"/>
          <w:u w:val="single"/>
        </w:rPr>
      </w:pPr>
      <w:r>
        <w:rPr>
          <w:rFonts w:ascii="Calibri" w:eastAsia="SimSun" w:hAnsi="Calibri"/>
          <w:color w:val="000000"/>
          <w:sz w:val="20"/>
          <w:szCs w:val="20"/>
          <w:lang w:eastAsia="en-US"/>
        </w:rPr>
        <w:t xml:space="preserve">Source: Queensland Government - </w:t>
      </w:r>
      <w:hyperlink r:id="rId18" w:history="1">
        <w:r>
          <w:rPr>
            <w:rStyle w:val="cf01"/>
            <w:color w:val="0000FF"/>
            <w:u w:val="single"/>
          </w:rPr>
          <w:t>Compliance program | Your rights, crime and the law | Queensland Government (www.qld.gov.au)</w:t>
        </w:r>
      </w:hyperlink>
    </w:p>
    <w:p w14:paraId="1E326A4A" w14:textId="4EB30874" w:rsidR="009F03C2" w:rsidRDefault="003D0F36" w:rsidP="003D0F36">
      <w:pPr>
        <w:suppressAutoHyphens/>
        <w:spacing w:before="180" w:after="80" w:line="260" w:lineRule="atLeast"/>
        <w:rPr>
          <w:rFonts w:ascii="Calibri" w:eastAsia="SimSun" w:hAnsi="Calibri"/>
          <w:color w:val="000000"/>
          <w:lang w:eastAsia="en-US"/>
        </w:rPr>
      </w:pPr>
      <w:r w:rsidRPr="003D0F36">
        <w:rPr>
          <w:rFonts w:ascii="Calibri" w:eastAsia="SimSun" w:hAnsi="Calibri"/>
          <w:color w:val="000000"/>
          <w:lang w:eastAsia="en-US"/>
        </w:rPr>
        <w:t xml:space="preserve">The lower sections of the pyramid, for initial actions and for lower-level contraventions, currently exists for the </w:t>
      </w:r>
      <w:r w:rsidR="00F11C79">
        <w:rPr>
          <w:rFonts w:ascii="Calibri" w:eastAsia="SimSun" w:hAnsi="Calibri"/>
          <w:color w:val="000000"/>
          <w:lang w:eastAsia="en-US"/>
        </w:rPr>
        <w:t>ICRC</w:t>
      </w:r>
      <w:r w:rsidRPr="003D0F36">
        <w:rPr>
          <w:rFonts w:ascii="Calibri" w:eastAsia="SimSun" w:hAnsi="Calibri"/>
          <w:color w:val="000000"/>
          <w:lang w:eastAsia="en-US"/>
        </w:rPr>
        <w:t xml:space="preserve">. So does the highest escalatory action, criminal proceedings. </w:t>
      </w:r>
    </w:p>
    <w:p w14:paraId="0F246949" w14:textId="77777777" w:rsidR="003D0F36" w:rsidRPr="003D0F36" w:rsidRDefault="003D0F36" w:rsidP="003D0F36">
      <w:pPr>
        <w:suppressAutoHyphens/>
        <w:spacing w:before="180" w:after="80" w:line="260" w:lineRule="atLeast"/>
        <w:rPr>
          <w:rFonts w:ascii="Calibri" w:eastAsia="SimSun" w:hAnsi="Calibri"/>
          <w:color w:val="000000"/>
          <w:lang w:eastAsia="en-US"/>
        </w:rPr>
      </w:pPr>
      <w:r w:rsidRPr="003D0F36">
        <w:rPr>
          <w:rFonts w:ascii="Calibri" w:eastAsia="SimSun" w:hAnsi="Calibri"/>
          <w:color w:val="000000"/>
          <w:lang w:eastAsia="en-US"/>
        </w:rPr>
        <w:t xml:space="preserve">The ACT Government is considering additional options to fill the current gap to address intermediate contraventions and lower-level contraventions that are not remedied by lower-level enforcement actions. </w:t>
      </w:r>
    </w:p>
    <w:p w14:paraId="02E7C52E" w14:textId="77777777" w:rsidR="009F3B18" w:rsidRDefault="003D0F36" w:rsidP="009F3B18">
      <w:pPr>
        <w:suppressAutoHyphens/>
        <w:spacing w:before="180" w:after="80" w:line="260" w:lineRule="atLeast"/>
        <w:rPr>
          <w:rFonts w:ascii="Calibri" w:eastAsia="SimSun" w:hAnsi="Calibri"/>
          <w:color w:val="000000"/>
          <w:lang w:eastAsia="en-US"/>
        </w:rPr>
      </w:pPr>
      <w:r w:rsidRPr="003D0F36">
        <w:rPr>
          <w:rFonts w:ascii="Calibri" w:eastAsia="SimSun" w:hAnsi="Calibri"/>
          <w:color w:val="000000"/>
          <w:lang w:eastAsia="en-US"/>
        </w:rPr>
        <w:t>The more serious the contravention or the circumstances that surround it, the higher up the regulation action pyramid that the resulting enforcement action is based, for example:</w:t>
      </w:r>
    </w:p>
    <w:p w14:paraId="108416E8" w14:textId="77777777" w:rsidR="009F3B18" w:rsidRDefault="003D0F36" w:rsidP="008B40F7">
      <w:pPr>
        <w:numPr>
          <w:ilvl w:val="0"/>
          <w:numId w:val="14"/>
        </w:numPr>
        <w:suppressAutoHyphens/>
        <w:spacing w:before="180" w:after="80" w:line="260" w:lineRule="atLeast"/>
        <w:rPr>
          <w:rFonts w:ascii="Calibri" w:eastAsia="SimSun" w:hAnsi="Calibri"/>
          <w:color w:val="000000"/>
          <w:lang w:eastAsia="en-US"/>
        </w:rPr>
      </w:pPr>
      <w:r w:rsidRPr="003D0F36">
        <w:rPr>
          <w:rFonts w:ascii="Calibri" w:eastAsia="SimSun" w:hAnsi="Calibri"/>
          <w:color w:val="000000"/>
          <w:lang w:eastAsia="zh-CN"/>
        </w:rPr>
        <w:t>Where there is a minor case of non-compliance or a first-time breach the commission could continue to address it through education and guidance.</w:t>
      </w:r>
    </w:p>
    <w:p w14:paraId="366F87AB" w14:textId="77777777" w:rsidR="009F3B18" w:rsidRDefault="003D0F36" w:rsidP="008B40F7">
      <w:pPr>
        <w:numPr>
          <w:ilvl w:val="0"/>
          <w:numId w:val="14"/>
        </w:numPr>
        <w:suppressAutoHyphens/>
        <w:spacing w:before="180" w:after="80" w:line="260" w:lineRule="atLeast"/>
        <w:rPr>
          <w:rFonts w:ascii="Calibri" w:eastAsia="SimSun" w:hAnsi="Calibri"/>
          <w:color w:val="000000"/>
          <w:lang w:eastAsia="en-US"/>
        </w:rPr>
      </w:pPr>
      <w:r w:rsidRPr="003D0F36">
        <w:rPr>
          <w:rFonts w:ascii="Calibri" w:eastAsia="SimSun" w:hAnsi="Calibri"/>
          <w:color w:val="000000"/>
          <w:lang w:eastAsia="zh-CN"/>
        </w:rPr>
        <w:t>If a matter involved a more significant impact on consumers, or the business had not given attention to compliance, then the commission could consider the issue of an infringement notice.</w:t>
      </w:r>
    </w:p>
    <w:p w14:paraId="6FB47D3D" w14:textId="77777777" w:rsidR="009F3B18" w:rsidRDefault="003D0F36" w:rsidP="008B40F7">
      <w:pPr>
        <w:numPr>
          <w:ilvl w:val="0"/>
          <w:numId w:val="14"/>
        </w:numPr>
        <w:suppressAutoHyphens/>
        <w:spacing w:before="180" w:after="80" w:line="260" w:lineRule="atLeast"/>
        <w:rPr>
          <w:rFonts w:ascii="Calibri" w:eastAsia="SimSun" w:hAnsi="Calibri"/>
          <w:color w:val="000000"/>
          <w:lang w:eastAsia="en-US"/>
        </w:rPr>
      </w:pPr>
      <w:r w:rsidRPr="003D0F36">
        <w:rPr>
          <w:rFonts w:ascii="Calibri" w:eastAsia="SimSun" w:hAnsi="Calibri"/>
          <w:color w:val="000000"/>
          <w:lang w:eastAsia="zh-CN"/>
        </w:rPr>
        <w:t>If there is a pattern of non-compliance or if ongoing changes to business practices are required, the commission could engage the business to voluntarily agree to an enforceable undertaking to demonstrate its commitment to addressing the issue.</w:t>
      </w:r>
    </w:p>
    <w:p w14:paraId="7A35905B" w14:textId="77777777" w:rsidR="009F3B18" w:rsidRDefault="003D0F36" w:rsidP="008B40F7">
      <w:pPr>
        <w:numPr>
          <w:ilvl w:val="0"/>
          <w:numId w:val="14"/>
        </w:numPr>
        <w:suppressAutoHyphens/>
        <w:spacing w:before="180" w:after="80" w:line="260" w:lineRule="atLeast"/>
        <w:rPr>
          <w:rFonts w:ascii="Calibri" w:eastAsia="SimSun" w:hAnsi="Calibri"/>
          <w:color w:val="000000"/>
          <w:lang w:eastAsia="en-US"/>
        </w:rPr>
      </w:pPr>
      <w:r w:rsidRPr="003D0F36">
        <w:rPr>
          <w:rFonts w:ascii="Calibri" w:eastAsia="SimSun" w:hAnsi="Calibri"/>
          <w:color w:val="000000"/>
          <w:lang w:eastAsia="zh-CN"/>
        </w:rPr>
        <w:t>In the case of serious non-compliance, the commission could consider taking civil law action such as monetary penalties or court ordered corrective action.</w:t>
      </w:r>
    </w:p>
    <w:p w14:paraId="73EFF55B" w14:textId="77777777" w:rsidR="009F3B18" w:rsidRDefault="003D0F36" w:rsidP="008B40F7">
      <w:pPr>
        <w:numPr>
          <w:ilvl w:val="0"/>
          <w:numId w:val="14"/>
        </w:numPr>
        <w:suppressAutoHyphens/>
        <w:spacing w:before="180" w:after="80" w:line="260" w:lineRule="atLeast"/>
        <w:rPr>
          <w:rFonts w:ascii="Calibri" w:eastAsia="SimSun" w:hAnsi="Calibri"/>
          <w:color w:val="000000"/>
          <w:lang w:eastAsia="en-US"/>
        </w:rPr>
      </w:pPr>
      <w:r w:rsidRPr="003D0F36">
        <w:rPr>
          <w:rFonts w:ascii="Calibri" w:eastAsia="SimSun" w:hAnsi="Calibri"/>
          <w:color w:val="000000"/>
          <w:lang w:eastAsia="zh-CN"/>
        </w:rPr>
        <w:t>Where there was deliberate or wilful non-compliance, the existing criminal enforcement could be pursued.  This could include, when dealing with a licenced utility, suspension of its licence</w:t>
      </w:r>
    </w:p>
    <w:p w14:paraId="57A49F77" w14:textId="3D542FD1" w:rsidR="003D0F36" w:rsidRPr="009F3B18" w:rsidRDefault="003D0F36" w:rsidP="009F3B18">
      <w:pPr>
        <w:suppressAutoHyphens/>
        <w:spacing w:before="180" w:after="80" w:line="260" w:lineRule="atLeast"/>
        <w:rPr>
          <w:rFonts w:ascii="Calibri" w:eastAsia="SimSun" w:hAnsi="Calibri"/>
          <w:color w:val="000000"/>
          <w:lang w:eastAsia="en-US"/>
        </w:rPr>
      </w:pPr>
      <w:r w:rsidRPr="003D0F36">
        <w:rPr>
          <w:rFonts w:ascii="Calibri" w:eastAsia="SimSun" w:hAnsi="Calibri"/>
          <w:color w:val="000000"/>
          <w:lang w:eastAsia="zh-CN"/>
        </w:rPr>
        <w:lastRenderedPageBreak/>
        <w:t xml:space="preserve">If the ACT Government proceeds with providing these additional enforcement options, the </w:t>
      </w:r>
      <w:r w:rsidR="009F03C2">
        <w:rPr>
          <w:rFonts w:ascii="Calibri" w:eastAsia="SimSun" w:hAnsi="Calibri"/>
          <w:color w:val="000000"/>
          <w:lang w:eastAsia="zh-CN"/>
        </w:rPr>
        <w:t>ICRC</w:t>
      </w:r>
      <w:r w:rsidR="009F03C2" w:rsidRPr="003D0F36">
        <w:rPr>
          <w:rFonts w:ascii="Calibri" w:eastAsia="SimSun" w:hAnsi="Calibri"/>
          <w:color w:val="000000"/>
          <w:lang w:eastAsia="zh-CN"/>
        </w:rPr>
        <w:t xml:space="preserve"> </w:t>
      </w:r>
      <w:r w:rsidR="0095264D">
        <w:rPr>
          <w:rFonts w:ascii="Calibri" w:eastAsia="SimSun" w:hAnsi="Calibri"/>
          <w:color w:val="000000"/>
          <w:lang w:eastAsia="zh-CN"/>
        </w:rPr>
        <w:t>would</w:t>
      </w:r>
      <w:r w:rsidR="0095264D" w:rsidRPr="003D0F36">
        <w:rPr>
          <w:rFonts w:ascii="Calibri" w:eastAsia="SimSun" w:hAnsi="Calibri"/>
          <w:color w:val="000000"/>
          <w:lang w:eastAsia="zh-CN"/>
        </w:rPr>
        <w:t xml:space="preserve"> </w:t>
      </w:r>
      <w:r w:rsidRPr="003D0F36">
        <w:rPr>
          <w:rFonts w:ascii="Calibri" w:eastAsia="SimSun" w:hAnsi="Calibri"/>
          <w:color w:val="000000"/>
          <w:lang w:eastAsia="zh-CN"/>
        </w:rPr>
        <w:t xml:space="preserve">develop guidance advising regulated entities and the public on how it would exercise its powers. </w:t>
      </w:r>
    </w:p>
    <w:p w14:paraId="1ED5B6D0" w14:textId="77777777" w:rsidR="00120321" w:rsidRDefault="009F3B18" w:rsidP="00606BB1">
      <w:pPr>
        <w:pStyle w:val="Heading2"/>
        <w:rPr>
          <w:i w:val="0"/>
          <w:iCs w:val="0"/>
        </w:rPr>
      </w:pPr>
      <w:bookmarkStart w:id="39" w:name="_Toc146284769"/>
      <w:bookmarkEnd w:id="35"/>
      <w:bookmarkEnd w:id="36"/>
      <w:r>
        <w:rPr>
          <w:i w:val="0"/>
          <w:iCs w:val="0"/>
        </w:rPr>
        <w:t>Enforceable undertaking</w:t>
      </w:r>
      <w:bookmarkEnd w:id="39"/>
    </w:p>
    <w:p w14:paraId="445C1924" w14:textId="44402353" w:rsidR="009006BF" w:rsidRDefault="00AF0F72" w:rsidP="00433406">
      <w:pPr>
        <w:suppressAutoHyphens/>
        <w:spacing w:before="180" w:after="80" w:line="260" w:lineRule="atLeast"/>
        <w:rPr>
          <w:rFonts w:ascii="Calibri" w:eastAsia="SimSun" w:hAnsi="Calibri"/>
          <w:color w:val="000000"/>
          <w:lang w:eastAsia="zh-CN"/>
        </w:rPr>
      </w:pPr>
      <w:r>
        <w:rPr>
          <w:rFonts w:ascii="Calibri" w:eastAsia="SimSun" w:hAnsi="Calibri"/>
          <w:color w:val="000000"/>
          <w:lang w:eastAsia="zh-CN"/>
        </w:rPr>
        <w:t>An enforceable undertaking</w:t>
      </w:r>
      <w:r w:rsidR="000B49EF">
        <w:rPr>
          <w:rFonts w:ascii="Calibri" w:eastAsia="SimSun" w:hAnsi="Calibri"/>
          <w:color w:val="000000"/>
          <w:lang w:eastAsia="zh-CN"/>
        </w:rPr>
        <w:t xml:space="preserve"> </w:t>
      </w:r>
      <w:r w:rsidR="00CD5CE0">
        <w:rPr>
          <w:rFonts w:ascii="Calibri" w:eastAsia="SimSun" w:hAnsi="Calibri"/>
          <w:color w:val="000000"/>
          <w:lang w:eastAsia="zh-CN"/>
        </w:rPr>
        <w:t xml:space="preserve">mitigates the risk of a future breach by </w:t>
      </w:r>
      <w:r w:rsidR="005A431C">
        <w:rPr>
          <w:rFonts w:ascii="Calibri" w:eastAsia="SimSun" w:hAnsi="Calibri"/>
          <w:color w:val="000000"/>
          <w:lang w:eastAsia="zh-CN"/>
        </w:rPr>
        <w:t xml:space="preserve">having the business </w:t>
      </w:r>
      <w:r w:rsidR="00CD5CE0">
        <w:rPr>
          <w:rFonts w:ascii="Calibri" w:eastAsia="SimSun" w:hAnsi="Calibri"/>
          <w:color w:val="000000"/>
          <w:lang w:eastAsia="zh-CN"/>
        </w:rPr>
        <w:t>undertak</w:t>
      </w:r>
      <w:r w:rsidR="005A431C">
        <w:rPr>
          <w:rFonts w:ascii="Calibri" w:eastAsia="SimSun" w:hAnsi="Calibri"/>
          <w:color w:val="000000"/>
          <w:lang w:eastAsia="zh-CN"/>
        </w:rPr>
        <w:t>e</w:t>
      </w:r>
      <w:r w:rsidR="00CD5CE0">
        <w:rPr>
          <w:rFonts w:ascii="Calibri" w:eastAsia="SimSun" w:hAnsi="Calibri"/>
          <w:color w:val="000000"/>
          <w:lang w:eastAsia="zh-CN"/>
        </w:rPr>
        <w:t xml:space="preserve"> to act in a certain way in the future, or to provide consumer redress to address the problem. </w:t>
      </w:r>
    </w:p>
    <w:p w14:paraId="1C3D54BE" w14:textId="77777777" w:rsidR="009006BF" w:rsidRDefault="009006BF" w:rsidP="00433406">
      <w:pPr>
        <w:suppressAutoHyphens/>
        <w:spacing w:before="180" w:after="80" w:line="260" w:lineRule="atLeast"/>
        <w:rPr>
          <w:rFonts w:ascii="Calibri" w:eastAsia="SimSun" w:hAnsi="Calibri"/>
          <w:color w:val="000000"/>
          <w:lang w:eastAsia="zh-CN"/>
        </w:rPr>
      </w:pPr>
      <w:r>
        <w:rPr>
          <w:rFonts w:ascii="Calibri" w:eastAsia="SimSun" w:hAnsi="Calibri"/>
          <w:color w:val="000000"/>
          <w:lang w:eastAsia="zh-CN"/>
        </w:rPr>
        <w:t xml:space="preserve">A </w:t>
      </w:r>
      <w:r w:rsidR="00CD5CE0">
        <w:rPr>
          <w:rFonts w:ascii="Calibri" w:eastAsia="SimSun" w:hAnsi="Calibri"/>
          <w:color w:val="000000"/>
          <w:lang w:eastAsia="zh-CN"/>
        </w:rPr>
        <w:t xml:space="preserve">business </w:t>
      </w:r>
      <w:r>
        <w:rPr>
          <w:rFonts w:ascii="Calibri" w:eastAsia="SimSun" w:hAnsi="Calibri"/>
          <w:color w:val="000000"/>
          <w:lang w:eastAsia="zh-CN"/>
        </w:rPr>
        <w:t>can</w:t>
      </w:r>
      <w:r w:rsidR="00CD5CE0">
        <w:rPr>
          <w:rFonts w:ascii="Calibri" w:eastAsia="SimSun" w:hAnsi="Calibri"/>
          <w:color w:val="000000"/>
          <w:lang w:eastAsia="zh-CN"/>
        </w:rPr>
        <w:t xml:space="preserve">not be compelled to offer an undertaking. </w:t>
      </w:r>
      <w:r>
        <w:rPr>
          <w:rFonts w:ascii="Calibri" w:eastAsia="SimSun" w:hAnsi="Calibri"/>
          <w:color w:val="000000"/>
          <w:lang w:eastAsia="zh-CN"/>
        </w:rPr>
        <w:t xml:space="preserve">That is not its purpose. Rather, it operates where a business wishes to address non-compliance by providing </w:t>
      </w:r>
      <w:r w:rsidR="00CD5CE0">
        <w:rPr>
          <w:rFonts w:ascii="Calibri" w:eastAsia="SimSun" w:hAnsi="Calibri"/>
          <w:color w:val="000000"/>
          <w:lang w:eastAsia="zh-CN"/>
        </w:rPr>
        <w:t>significant flexibility to</w:t>
      </w:r>
      <w:r>
        <w:rPr>
          <w:rFonts w:ascii="Calibri" w:eastAsia="SimSun" w:hAnsi="Calibri"/>
          <w:color w:val="000000"/>
          <w:lang w:eastAsia="zh-CN"/>
        </w:rPr>
        <w:t xml:space="preserve"> </w:t>
      </w:r>
      <w:proofErr w:type="gramStart"/>
      <w:r>
        <w:rPr>
          <w:rFonts w:ascii="Calibri" w:eastAsia="SimSun" w:hAnsi="Calibri"/>
          <w:color w:val="000000"/>
          <w:lang w:eastAsia="zh-CN"/>
        </w:rPr>
        <w:t>quickly</w:t>
      </w:r>
      <w:r w:rsidR="00CD5CE0">
        <w:rPr>
          <w:rFonts w:ascii="Calibri" w:eastAsia="SimSun" w:hAnsi="Calibri"/>
          <w:color w:val="000000"/>
          <w:lang w:eastAsia="zh-CN"/>
        </w:rPr>
        <w:t xml:space="preserve"> </w:t>
      </w:r>
      <w:r>
        <w:rPr>
          <w:rFonts w:ascii="Calibri" w:eastAsia="SimSun" w:hAnsi="Calibri"/>
          <w:color w:val="000000"/>
          <w:lang w:eastAsia="zh-CN"/>
        </w:rPr>
        <w:t xml:space="preserve">and fully </w:t>
      </w:r>
      <w:r w:rsidR="00CD5CE0">
        <w:rPr>
          <w:rFonts w:ascii="Calibri" w:eastAsia="SimSun" w:hAnsi="Calibri"/>
          <w:color w:val="000000"/>
          <w:lang w:eastAsia="zh-CN"/>
        </w:rPr>
        <w:t>address mid-level breaches of the law</w:t>
      </w:r>
      <w:proofErr w:type="gramEnd"/>
      <w:r>
        <w:rPr>
          <w:rFonts w:ascii="Calibri" w:eastAsia="SimSun" w:hAnsi="Calibri"/>
          <w:color w:val="000000"/>
          <w:lang w:eastAsia="zh-CN"/>
        </w:rPr>
        <w:t xml:space="preserve">, than </w:t>
      </w:r>
      <w:r w:rsidR="00CD5CE0">
        <w:rPr>
          <w:rFonts w:ascii="Calibri" w:eastAsia="SimSun" w:hAnsi="Calibri"/>
          <w:color w:val="000000"/>
          <w:lang w:eastAsia="zh-CN"/>
        </w:rPr>
        <w:t>proceeding to court</w:t>
      </w:r>
      <w:r>
        <w:rPr>
          <w:rFonts w:ascii="Calibri" w:eastAsia="SimSun" w:hAnsi="Calibri"/>
          <w:color w:val="000000"/>
          <w:lang w:eastAsia="zh-CN"/>
        </w:rPr>
        <w:t>. Further, once the undertaking is provided, the entity can be compelled by a Court to honour its commitment.</w:t>
      </w:r>
    </w:p>
    <w:p w14:paraId="77E8CE9E" w14:textId="77777777" w:rsidR="003A7A0D" w:rsidRPr="00563CC3" w:rsidRDefault="003A7A0D" w:rsidP="003A7A0D">
      <w:pPr>
        <w:suppressAutoHyphens/>
        <w:spacing w:before="180" w:after="80" w:line="260" w:lineRule="atLeast"/>
        <w:jc w:val="both"/>
        <w:rPr>
          <w:rFonts w:ascii="Calibri" w:eastAsia="SimSun" w:hAnsi="Calibri"/>
          <w:i/>
          <w:iCs/>
          <w:color w:val="000000"/>
          <w:lang w:eastAsia="zh-CN"/>
        </w:rPr>
      </w:pPr>
      <w:r w:rsidRPr="00563CC3">
        <w:rPr>
          <w:rFonts w:ascii="Calibri" w:eastAsia="SimSun" w:hAnsi="Calibri"/>
          <w:i/>
          <w:iCs/>
          <w:color w:val="000000"/>
          <w:lang w:eastAsia="zh-CN"/>
        </w:rPr>
        <w:t>How the enforceable undertaking capacity might work in practice:</w:t>
      </w:r>
    </w:p>
    <w:p w14:paraId="394B7C2F" w14:textId="77777777" w:rsidR="001E232E" w:rsidRPr="00563CC3" w:rsidRDefault="00B64F9B" w:rsidP="00A057BE">
      <w:pPr>
        <w:numPr>
          <w:ilvl w:val="0"/>
          <w:numId w:val="14"/>
        </w:numPr>
        <w:suppressAutoHyphens/>
        <w:spacing w:before="180" w:after="80" w:line="260" w:lineRule="atLeast"/>
        <w:jc w:val="both"/>
        <w:rPr>
          <w:rFonts w:ascii="Calibri" w:eastAsia="SimSun" w:hAnsi="Calibri"/>
          <w:i/>
          <w:iCs/>
          <w:color w:val="000000"/>
          <w:lang w:eastAsia="zh-CN"/>
        </w:rPr>
      </w:pPr>
      <w:r w:rsidRPr="00563CC3">
        <w:rPr>
          <w:rFonts w:ascii="Calibri" w:eastAsia="SimSun" w:hAnsi="Calibri"/>
          <w:color w:val="000000"/>
          <w:lang w:eastAsia="zh-CN"/>
        </w:rPr>
        <w:t xml:space="preserve">The Victorian counterpart to the ICRC, </w:t>
      </w:r>
      <w:r w:rsidR="00DD6287">
        <w:rPr>
          <w:rFonts w:ascii="Calibri" w:eastAsia="SimSun" w:hAnsi="Calibri"/>
          <w:color w:val="000000"/>
          <w:lang w:eastAsia="zh-CN"/>
        </w:rPr>
        <w:t xml:space="preserve">the </w:t>
      </w:r>
      <w:r w:rsidRPr="00563CC3">
        <w:rPr>
          <w:rFonts w:ascii="Calibri" w:eastAsia="SimSun" w:hAnsi="Calibri"/>
          <w:color w:val="000000"/>
          <w:lang w:eastAsia="zh-CN"/>
        </w:rPr>
        <w:t xml:space="preserve">Essential Services Commission </w:t>
      </w:r>
      <w:r w:rsidR="00DD6287">
        <w:rPr>
          <w:rFonts w:ascii="Calibri" w:eastAsia="SimSun" w:hAnsi="Calibri"/>
          <w:color w:val="000000"/>
          <w:lang w:eastAsia="zh-CN"/>
        </w:rPr>
        <w:t>accepted a court enforceable undertaking from</w:t>
      </w:r>
      <w:r w:rsidRPr="00563CC3">
        <w:rPr>
          <w:rFonts w:ascii="Calibri" w:eastAsia="SimSun" w:hAnsi="Calibri"/>
          <w:color w:val="000000"/>
          <w:lang w:eastAsia="zh-CN"/>
        </w:rPr>
        <w:t xml:space="preserve"> Simply Energy </w:t>
      </w:r>
      <w:r w:rsidR="00DD6287">
        <w:rPr>
          <w:rFonts w:ascii="Calibri" w:eastAsia="SimSun" w:hAnsi="Calibri"/>
          <w:color w:val="000000"/>
          <w:lang w:eastAsia="zh-CN"/>
        </w:rPr>
        <w:t>following the a</w:t>
      </w:r>
      <w:r w:rsidR="00A057BE" w:rsidRPr="00563CC3">
        <w:rPr>
          <w:rFonts w:ascii="Calibri" w:eastAsia="SimSun" w:hAnsi="Calibri"/>
          <w:color w:val="000000"/>
          <w:lang w:eastAsia="zh-CN"/>
        </w:rPr>
        <w:t xml:space="preserve">lleged </w:t>
      </w:r>
      <w:r w:rsidR="006464AC" w:rsidRPr="00563CC3">
        <w:rPr>
          <w:rFonts w:ascii="Calibri" w:eastAsia="SimSun" w:hAnsi="Calibri"/>
          <w:color w:val="000000"/>
          <w:lang w:eastAsia="zh-CN"/>
        </w:rPr>
        <w:t xml:space="preserve">transfer of gas and electricity </w:t>
      </w:r>
      <w:r w:rsidR="00DD6287">
        <w:rPr>
          <w:rFonts w:ascii="Calibri" w:eastAsia="SimSun" w:hAnsi="Calibri"/>
          <w:color w:val="000000"/>
          <w:lang w:eastAsia="zh-CN"/>
        </w:rPr>
        <w:t xml:space="preserve">customers to new plans </w:t>
      </w:r>
      <w:r w:rsidR="006464AC" w:rsidRPr="00563CC3">
        <w:rPr>
          <w:rFonts w:ascii="Calibri" w:eastAsia="SimSun" w:hAnsi="Calibri"/>
          <w:color w:val="000000"/>
          <w:lang w:eastAsia="zh-CN"/>
        </w:rPr>
        <w:t>without any contact to obtain explicit informed consent</w:t>
      </w:r>
      <w:r w:rsidRPr="00563CC3">
        <w:rPr>
          <w:rFonts w:ascii="Calibri" w:eastAsia="SimSun" w:hAnsi="Calibri"/>
          <w:color w:val="000000"/>
          <w:lang w:eastAsia="zh-CN"/>
        </w:rPr>
        <w:t xml:space="preserve">. </w:t>
      </w:r>
      <w:r w:rsidR="001E232E" w:rsidRPr="00563CC3">
        <w:rPr>
          <w:rFonts w:ascii="Calibri" w:eastAsia="SimSun" w:hAnsi="Calibri"/>
          <w:color w:val="000000"/>
          <w:lang w:eastAsia="zh-CN"/>
        </w:rPr>
        <w:t>Simply Energy</w:t>
      </w:r>
      <w:r w:rsidR="00A057BE" w:rsidRPr="00563CC3">
        <w:rPr>
          <w:rFonts w:ascii="Calibri" w:eastAsia="SimSun" w:hAnsi="Calibri"/>
          <w:color w:val="000000"/>
          <w:lang w:eastAsia="zh-CN"/>
        </w:rPr>
        <w:t xml:space="preserve"> agree</w:t>
      </w:r>
      <w:r w:rsidR="00DD6287">
        <w:rPr>
          <w:rFonts w:ascii="Calibri" w:eastAsia="SimSun" w:hAnsi="Calibri"/>
          <w:color w:val="000000"/>
          <w:lang w:eastAsia="zh-CN"/>
        </w:rPr>
        <w:t>d</w:t>
      </w:r>
      <w:r w:rsidR="00A057BE" w:rsidRPr="00563CC3">
        <w:rPr>
          <w:rFonts w:ascii="Calibri" w:eastAsia="SimSun" w:hAnsi="Calibri"/>
          <w:color w:val="000000"/>
          <w:lang w:eastAsia="zh-CN"/>
        </w:rPr>
        <w:t xml:space="preserve"> to</w:t>
      </w:r>
      <w:r w:rsidR="001E232E" w:rsidRPr="00563CC3">
        <w:rPr>
          <w:rFonts w:ascii="Calibri" w:eastAsia="SimSun" w:hAnsi="Calibri"/>
          <w:color w:val="000000"/>
          <w:lang w:eastAsia="zh-CN"/>
        </w:rPr>
        <w:t xml:space="preserve"> </w:t>
      </w:r>
      <w:r w:rsidR="00A057BE" w:rsidRPr="00563CC3">
        <w:rPr>
          <w:rFonts w:ascii="Calibri" w:eastAsia="SimSun" w:hAnsi="Calibri"/>
          <w:color w:val="000000"/>
          <w:lang w:eastAsia="zh-CN"/>
        </w:rPr>
        <w:t xml:space="preserve">ensure </w:t>
      </w:r>
      <w:r w:rsidR="001E232E" w:rsidRPr="00563CC3">
        <w:rPr>
          <w:rFonts w:ascii="Calibri" w:eastAsia="SimSun" w:hAnsi="Calibri"/>
          <w:color w:val="000000"/>
          <w:lang w:eastAsia="zh-CN"/>
        </w:rPr>
        <w:t xml:space="preserve">its agents </w:t>
      </w:r>
      <w:r w:rsidR="00DD6287">
        <w:rPr>
          <w:rFonts w:ascii="Calibri" w:eastAsia="SimSun" w:hAnsi="Calibri"/>
          <w:color w:val="000000"/>
          <w:lang w:eastAsia="zh-CN"/>
        </w:rPr>
        <w:t>were</w:t>
      </w:r>
      <w:r w:rsidR="001E232E" w:rsidRPr="00563CC3">
        <w:rPr>
          <w:rFonts w:ascii="Calibri" w:eastAsia="SimSun" w:hAnsi="Calibri"/>
          <w:color w:val="000000"/>
          <w:lang w:eastAsia="zh-CN"/>
        </w:rPr>
        <w:t xml:space="preserve"> trained to obtain explicit informed consent from its customers before switching them over to a different energy plan.</w:t>
      </w:r>
    </w:p>
    <w:p w14:paraId="1FE7E96C" w14:textId="77777777" w:rsidR="00B64F9B" w:rsidRPr="00563CC3" w:rsidRDefault="004C04D6" w:rsidP="003A7A0D">
      <w:pPr>
        <w:numPr>
          <w:ilvl w:val="0"/>
          <w:numId w:val="14"/>
        </w:numPr>
        <w:suppressAutoHyphens/>
        <w:spacing w:before="180" w:after="80" w:line="260" w:lineRule="atLeast"/>
        <w:jc w:val="both"/>
        <w:rPr>
          <w:rFonts w:ascii="Calibri" w:eastAsia="SimSun" w:hAnsi="Calibri"/>
          <w:i/>
          <w:iCs/>
          <w:color w:val="000000"/>
          <w:lang w:eastAsia="zh-CN"/>
        </w:rPr>
      </w:pPr>
      <w:r w:rsidRPr="036EA050">
        <w:rPr>
          <w:rFonts w:ascii="Calibri" w:eastAsia="SimSun" w:hAnsi="Calibri"/>
          <w:color w:val="000000" w:themeColor="text1"/>
          <w:lang w:eastAsia="zh-CN"/>
        </w:rPr>
        <w:t>Similar obligations exist in the ACT under the Transparency and Comparability Code</w:t>
      </w:r>
      <w:r w:rsidR="00A057BE" w:rsidRPr="036EA050">
        <w:rPr>
          <w:rFonts w:ascii="Calibri" w:eastAsia="SimSun" w:hAnsi="Calibri"/>
          <w:color w:val="000000" w:themeColor="text1"/>
          <w:lang w:eastAsia="zh-CN"/>
        </w:rPr>
        <w:t>, where NERL retailers are required to give customers clear and useful information to help them understand and compare energy plans before signing a new contract</w:t>
      </w:r>
      <w:r w:rsidRPr="036EA050">
        <w:rPr>
          <w:rFonts w:ascii="Calibri" w:eastAsia="SimSun" w:hAnsi="Calibri"/>
          <w:color w:val="000000" w:themeColor="text1"/>
          <w:lang w:eastAsia="zh-CN"/>
        </w:rPr>
        <w:t xml:space="preserve">. </w:t>
      </w:r>
      <w:r w:rsidR="00057E58" w:rsidRPr="036EA050">
        <w:rPr>
          <w:rFonts w:ascii="Calibri" w:eastAsia="SimSun" w:hAnsi="Calibri"/>
          <w:color w:val="000000" w:themeColor="text1"/>
          <w:lang w:eastAsia="zh-CN"/>
        </w:rPr>
        <w:t xml:space="preserve">The availability of court enforceable undertakings in the ACT would assist the </w:t>
      </w:r>
      <w:r w:rsidRPr="036EA050">
        <w:rPr>
          <w:rFonts w:ascii="Calibri" w:eastAsia="SimSun" w:hAnsi="Calibri"/>
          <w:color w:val="000000" w:themeColor="text1"/>
          <w:lang w:eastAsia="zh-CN"/>
        </w:rPr>
        <w:t>ICRC to ensure energy retailers in the ACT</w:t>
      </w:r>
      <w:r w:rsidR="00975E74" w:rsidRPr="036EA050">
        <w:rPr>
          <w:rFonts w:ascii="Calibri" w:eastAsia="SimSun" w:hAnsi="Calibri"/>
          <w:color w:val="000000" w:themeColor="text1"/>
          <w:lang w:eastAsia="zh-CN"/>
        </w:rPr>
        <w:t xml:space="preserve"> take appropriate steps to</w:t>
      </w:r>
      <w:r w:rsidR="00792BEA" w:rsidRPr="036EA050">
        <w:rPr>
          <w:rFonts w:ascii="Calibri" w:eastAsia="SimSun" w:hAnsi="Calibri"/>
          <w:color w:val="000000" w:themeColor="text1"/>
          <w:lang w:eastAsia="zh-CN"/>
        </w:rPr>
        <w:t xml:space="preserve"> identif</w:t>
      </w:r>
      <w:r w:rsidR="00975E74" w:rsidRPr="036EA050">
        <w:rPr>
          <w:rFonts w:ascii="Calibri" w:eastAsia="SimSun" w:hAnsi="Calibri"/>
          <w:color w:val="000000" w:themeColor="text1"/>
          <w:lang w:eastAsia="zh-CN"/>
        </w:rPr>
        <w:t>y</w:t>
      </w:r>
      <w:r w:rsidR="00792BEA" w:rsidRPr="036EA050">
        <w:rPr>
          <w:rFonts w:ascii="Calibri" w:eastAsia="SimSun" w:hAnsi="Calibri"/>
          <w:color w:val="000000" w:themeColor="text1"/>
          <w:lang w:eastAsia="zh-CN"/>
        </w:rPr>
        <w:t xml:space="preserve"> the cause of the issue and</w:t>
      </w:r>
      <w:r w:rsidR="00975E74" w:rsidRPr="036EA050">
        <w:rPr>
          <w:rFonts w:ascii="Calibri" w:eastAsia="SimSun" w:hAnsi="Calibri"/>
          <w:color w:val="000000" w:themeColor="text1"/>
          <w:lang w:eastAsia="zh-CN"/>
        </w:rPr>
        <w:t xml:space="preserve"> </w:t>
      </w:r>
      <w:r w:rsidR="00792BEA" w:rsidRPr="036EA050">
        <w:rPr>
          <w:rFonts w:ascii="Calibri" w:eastAsia="SimSun" w:hAnsi="Calibri"/>
          <w:color w:val="000000" w:themeColor="text1"/>
          <w:lang w:eastAsia="zh-CN"/>
        </w:rPr>
        <w:t>address it.</w:t>
      </w:r>
    </w:p>
    <w:p w14:paraId="1D75FEE8" w14:textId="456F161B" w:rsidR="036EA050" w:rsidRDefault="0046759E" w:rsidP="459E75AB">
      <w:pPr>
        <w:spacing w:before="180" w:after="80" w:line="260" w:lineRule="atLeast"/>
        <w:jc w:val="both"/>
        <w:rPr>
          <w:rFonts w:ascii="Calibri" w:eastAsia="SimSun" w:hAnsi="Calibri"/>
          <w:color w:val="000000" w:themeColor="text1"/>
          <w:lang w:eastAsia="zh-CN"/>
        </w:rPr>
      </w:pPr>
      <w:r w:rsidRPr="2F00E841">
        <w:rPr>
          <w:rFonts w:ascii="Calibri" w:eastAsia="SimSun" w:hAnsi="Calibri"/>
          <w:color w:val="000000" w:themeColor="text1"/>
          <w:lang w:eastAsia="zh-CN"/>
        </w:rPr>
        <w:t>U</w:t>
      </w:r>
      <w:r w:rsidR="00BC03FC" w:rsidRPr="2F00E841">
        <w:rPr>
          <w:rFonts w:ascii="Calibri" w:eastAsia="SimSun" w:hAnsi="Calibri"/>
          <w:color w:val="000000" w:themeColor="text1"/>
          <w:lang w:eastAsia="zh-CN"/>
        </w:rPr>
        <w:t>tilities</w:t>
      </w:r>
      <w:r w:rsidRPr="2F00E841">
        <w:rPr>
          <w:rFonts w:ascii="Calibri" w:eastAsia="SimSun" w:hAnsi="Calibri"/>
          <w:color w:val="000000" w:themeColor="text1"/>
          <w:lang w:eastAsia="zh-CN"/>
        </w:rPr>
        <w:t xml:space="preserve"> already</w:t>
      </w:r>
      <w:r w:rsidR="00BC03FC" w:rsidRPr="2F00E841">
        <w:rPr>
          <w:rFonts w:ascii="Calibri" w:eastAsia="SimSun" w:hAnsi="Calibri"/>
          <w:color w:val="000000" w:themeColor="text1"/>
          <w:lang w:eastAsia="zh-CN"/>
        </w:rPr>
        <w:t xml:space="preserve"> </w:t>
      </w:r>
      <w:r w:rsidRPr="2F00E841">
        <w:rPr>
          <w:rFonts w:ascii="Calibri" w:eastAsia="SimSun" w:hAnsi="Calibri"/>
          <w:color w:val="000000" w:themeColor="text1"/>
          <w:lang w:eastAsia="zh-CN"/>
        </w:rPr>
        <w:t>have</w:t>
      </w:r>
      <w:r w:rsidR="5390AC36" w:rsidRPr="2F00E841">
        <w:rPr>
          <w:rFonts w:ascii="Calibri" w:eastAsia="SimSun" w:hAnsi="Calibri"/>
          <w:color w:val="000000" w:themeColor="text1"/>
          <w:lang w:eastAsia="zh-CN"/>
        </w:rPr>
        <w:t xml:space="preserve"> a</w:t>
      </w:r>
      <w:r w:rsidRPr="2F00E841">
        <w:rPr>
          <w:rFonts w:ascii="Calibri" w:eastAsia="SimSun" w:hAnsi="Calibri"/>
          <w:color w:val="000000" w:themeColor="text1"/>
          <w:lang w:eastAsia="zh-CN"/>
        </w:rPr>
        <w:t xml:space="preserve"> financial</w:t>
      </w:r>
      <w:r w:rsidR="5390AC36" w:rsidRPr="2F00E841">
        <w:rPr>
          <w:rFonts w:ascii="Calibri" w:eastAsia="SimSun" w:hAnsi="Calibri"/>
          <w:color w:val="000000" w:themeColor="text1"/>
          <w:lang w:eastAsia="zh-CN"/>
        </w:rPr>
        <w:t xml:space="preserve"> incentive to meet the </w:t>
      </w:r>
      <w:r w:rsidR="7DB08534" w:rsidRPr="2F00E841">
        <w:rPr>
          <w:rFonts w:ascii="Calibri" w:eastAsia="SimSun" w:hAnsi="Calibri"/>
          <w:color w:val="000000" w:themeColor="text1"/>
          <w:lang w:eastAsia="zh-CN"/>
        </w:rPr>
        <w:t>guaranteed service level requirements</w:t>
      </w:r>
      <w:r w:rsidR="5390AC36" w:rsidRPr="2F00E841">
        <w:rPr>
          <w:rFonts w:ascii="Calibri" w:eastAsia="SimSun" w:hAnsi="Calibri"/>
          <w:color w:val="000000" w:themeColor="text1"/>
          <w:lang w:eastAsia="zh-CN"/>
        </w:rPr>
        <w:t xml:space="preserve">, through </w:t>
      </w:r>
      <w:r w:rsidRPr="2F00E841">
        <w:rPr>
          <w:rFonts w:ascii="Calibri" w:eastAsia="SimSun" w:hAnsi="Calibri"/>
          <w:color w:val="000000" w:themeColor="text1"/>
          <w:lang w:eastAsia="zh-CN"/>
        </w:rPr>
        <w:t>rebates payable under the Consumer Protection Code. However</w:t>
      </w:r>
      <w:r w:rsidR="5390AC36" w:rsidRPr="2F00E841">
        <w:rPr>
          <w:rFonts w:ascii="Calibri" w:eastAsia="SimSun" w:hAnsi="Calibri"/>
          <w:color w:val="000000" w:themeColor="text1"/>
          <w:lang w:eastAsia="zh-CN"/>
        </w:rPr>
        <w:t xml:space="preserve">, if </w:t>
      </w:r>
      <w:r w:rsidRPr="2F00E841">
        <w:rPr>
          <w:rFonts w:ascii="Calibri" w:eastAsia="SimSun" w:hAnsi="Calibri"/>
          <w:color w:val="000000" w:themeColor="text1"/>
          <w:lang w:eastAsia="zh-CN"/>
        </w:rPr>
        <w:t>this is</w:t>
      </w:r>
      <w:r w:rsidR="5390AC36" w:rsidRPr="2F00E841">
        <w:rPr>
          <w:rFonts w:ascii="Calibri" w:eastAsia="SimSun" w:hAnsi="Calibri"/>
          <w:color w:val="000000" w:themeColor="text1"/>
          <w:lang w:eastAsia="zh-CN"/>
        </w:rPr>
        <w:t xml:space="preserve"> not sufficient</w:t>
      </w:r>
      <w:r w:rsidRPr="2F00E841">
        <w:rPr>
          <w:rFonts w:ascii="Calibri" w:eastAsia="SimSun" w:hAnsi="Calibri"/>
          <w:color w:val="000000" w:themeColor="text1"/>
          <w:lang w:eastAsia="zh-CN"/>
        </w:rPr>
        <w:t xml:space="preserve"> to drive improvement in service delivery</w:t>
      </w:r>
      <w:r w:rsidR="5390AC36" w:rsidRPr="2F00E841">
        <w:rPr>
          <w:rFonts w:ascii="Calibri" w:eastAsia="SimSun" w:hAnsi="Calibri"/>
          <w:color w:val="000000" w:themeColor="text1"/>
          <w:lang w:eastAsia="zh-CN"/>
        </w:rPr>
        <w:t>, the ICRC</w:t>
      </w:r>
      <w:r w:rsidRPr="2F00E841">
        <w:rPr>
          <w:rFonts w:ascii="Calibri" w:eastAsia="SimSun" w:hAnsi="Calibri"/>
          <w:color w:val="000000" w:themeColor="text1"/>
          <w:lang w:eastAsia="zh-CN"/>
        </w:rPr>
        <w:t xml:space="preserve"> through enforceable undertakings</w:t>
      </w:r>
      <w:r w:rsidR="5390AC36" w:rsidRPr="2F00E841">
        <w:rPr>
          <w:rFonts w:ascii="Calibri" w:eastAsia="SimSun" w:hAnsi="Calibri"/>
          <w:color w:val="000000" w:themeColor="text1"/>
          <w:lang w:eastAsia="zh-CN"/>
        </w:rPr>
        <w:t xml:space="preserve"> would have the capacity to </w:t>
      </w:r>
      <w:r w:rsidRPr="2F00E841">
        <w:rPr>
          <w:rFonts w:ascii="Calibri" w:eastAsia="SimSun" w:hAnsi="Calibri"/>
          <w:color w:val="000000" w:themeColor="text1"/>
          <w:lang w:eastAsia="zh-CN"/>
        </w:rPr>
        <w:t xml:space="preserve">get utilities to </w:t>
      </w:r>
      <w:r w:rsidR="5390AC36" w:rsidRPr="2F00E841">
        <w:rPr>
          <w:rFonts w:ascii="Calibri" w:eastAsia="SimSun" w:hAnsi="Calibri"/>
          <w:color w:val="000000" w:themeColor="text1"/>
          <w:lang w:eastAsia="zh-CN"/>
        </w:rPr>
        <w:t xml:space="preserve">look at </w:t>
      </w:r>
      <w:r w:rsidRPr="2F00E841">
        <w:rPr>
          <w:rFonts w:ascii="Calibri" w:eastAsia="SimSun" w:hAnsi="Calibri"/>
          <w:color w:val="000000" w:themeColor="text1"/>
          <w:lang w:eastAsia="zh-CN"/>
        </w:rPr>
        <w:t xml:space="preserve">their </w:t>
      </w:r>
      <w:r w:rsidR="1DB16FF6" w:rsidRPr="2F00E841">
        <w:rPr>
          <w:rFonts w:ascii="Calibri" w:eastAsia="SimSun" w:hAnsi="Calibri"/>
          <w:color w:val="000000" w:themeColor="text1"/>
          <w:lang w:eastAsia="zh-CN"/>
        </w:rPr>
        <w:t xml:space="preserve">performance </w:t>
      </w:r>
      <w:r w:rsidR="5390AC36" w:rsidRPr="2F00E841">
        <w:rPr>
          <w:rFonts w:ascii="Calibri" w:eastAsia="SimSun" w:hAnsi="Calibri"/>
          <w:color w:val="000000" w:themeColor="text1"/>
          <w:lang w:eastAsia="zh-CN"/>
        </w:rPr>
        <w:t xml:space="preserve">over time and </w:t>
      </w:r>
      <w:r w:rsidRPr="2F00E841">
        <w:rPr>
          <w:rFonts w:ascii="Calibri" w:eastAsia="SimSun" w:hAnsi="Calibri"/>
          <w:color w:val="000000" w:themeColor="text1"/>
          <w:lang w:eastAsia="zh-CN"/>
        </w:rPr>
        <w:t>to undertake</w:t>
      </w:r>
      <w:r w:rsidR="5390AC36" w:rsidRPr="2F00E841">
        <w:rPr>
          <w:rFonts w:ascii="Calibri" w:eastAsia="SimSun" w:hAnsi="Calibri"/>
          <w:color w:val="000000" w:themeColor="text1"/>
          <w:lang w:eastAsia="zh-CN"/>
        </w:rPr>
        <w:t xml:space="preserve"> additional </w:t>
      </w:r>
      <w:r w:rsidRPr="2F00E841">
        <w:rPr>
          <w:rFonts w:ascii="Calibri" w:eastAsia="SimSun" w:hAnsi="Calibri"/>
          <w:color w:val="000000" w:themeColor="text1"/>
          <w:lang w:eastAsia="zh-CN"/>
        </w:rPr>
        <w:t>actions</w:t>
      </w:r>
      <w:r w:rsidR="5390AC36" w:rsidRPr="2F00E841">
        <w:rPr>
          <w:rFonts w:ascii="Calibri" w:eastAsia="SimSun" w:hAnsi="Calibri"/>
          <w:color w:val="000000" w:themeColor="text1"/>
          <w:lang w:eastAsia="zh-CN"/>
        </w:rPr>
        <w:t xml:space="preserve"> that would ensure</w:t>
      </w:r>
      <w:r w:rsidRPr="2F00E841">
        <w:rPr>
          <w:rFonts w:ascii="Calibri" w:eastAsia="SimSun" w:hAnsi="Calibri"/>
          <w:color w:val="000000" w:themeColor="text1"/>
          <w:lang w:eastAsia="zh-CN"/>
        </w:rPr>
        <w:t xml:space="preserve"> improvements to compliance rates.</w:t>
      </w:r>
    </w:p>
    <w:p w14:paraId="6D79A67E" w14:textId="77777777" w:rsidR="00F533BE" w:rsidRDefault="00F533BE" w:rsidP="459E75AB">
      <w:pPr>
        <w:spacing w:before="180" w:after="80" w:line="260" w:lineRule="atLeast"/>
        <w:jc w:val="both"/>
        <w:rPr>
          <w:rFonts w:ascii="Calibri" w:eastAsia="SimSun" w:hAnsi="Calibri"/>
          <w:color w:val="000000" w:themeColor="text1"/>
          <w:lang w:eastAsia="zh-CN"/>
        </w:rPr>
      </w:pPr>
    </w:p>
    <w:tbl>
      <w:tblPr>
        <w:tblStyle w:val="TableGrid"/>
        <w:tblW w:w="0" w:type="auto"/>
        <w:tblLayout w:type="fixed"/>
        <w:tblLook w:val="06A0" w:firstRow="1" w:lastRow="0" w:firstColumn="1" w:lastColumn="0" w:noHBand="1" w:noVBand="1"/>
      </w:tblPr>
      <w:tblGrid>
        <w:gridCol w:w="9015"/>
      </w:tblGrid>
      <w:tr w:rsidR="2F00E841" w14:paraId="3890920C" w14:textId="77777777" w:rsidTr="2F00E841">
        <w:trPr>
          <w:trHeight w:val="300"/>
        </w:trPr>
        <w:tc>
          <w:tcPr>
            <w:tcW w:w="9015" w:type="dxa"/>
            <w:shd w:val="clear" w:color="auto" w:fill="D9D9D9" w:themeFill="background1" w:themeFillShade="D9"/>
          </w:tcPr>
          <w:p w14:paraId="0CB63256" w14:textId="77777777" w:rsidR="001E7784" w:rsidRDefault="001E7784" w:rsidP="2F00E841">
            <w:pPr>
              <w:spacing w:line="259" w:lineRule="auto"/>
              <w:rPr>
                <w:rFonts w:ascii="Calibri" w:eastAsia="Calibri" w:hAnsi="Calibri"/>
                <w:u w:val="single"/>
                <w:lang w:eastAsia="en-US"/>
              </w:rPr>
            </w:pPr>
          </w:p>
          <w:p w14:paraId="5B3200B1" w14:textId="5E0A6862" w:rsidR="48B7526B" w:rsidRPr="00A41F1C" w:rsidRDefault="48B7526B" w:rsidP="2F00E841">
            <w:pPr>
              <w:spacing w:line="259" w:lineRule="auto"/>
              <w:rPr>
                <w:rFonts w:ascii="Calibri" w:eastAsia="Calibri" w:hAnsi="Calibri"/>
                <w:b/>
                <w:bCs/>
                <w:lang w:eastAsia="en-US"/>
              </w:rPr>
            </w:pPr>
            <w:r w:rsidRPr="00A41F1C">
              <w:rPr>
                <w:rFonts w:ascii="Calibri" w:eastAsia="Calibri" w:hAnsi="Calibri"/>
                <w:b/>
                <w:bCs/>
                <w:lang w:eastAsia="en-US"/>
              </w:rPr>
              <w:t>Consultation question</w:t>
            </w:r>
            <w:r w:rsidR="005F62DF">
              <w:rPr>
                <w:rFonts w:ascii="Calibri" w:eastAsia="Calibri" w:hAnsi="Calibri"/>
                <w:b/>
                <w:bCs/>
                <w:lang w:eastAsia="en-US"/>
              </w:rPr>
              <w:t xml:space="preserve"> 3</w:t>
            </w:r>
            <w:r w:rsidRPr="00A41F1C">
              <w:rPr>
                <w:rFonts w:ascii="Calibri" w:eastAsia="Calibri" w:hAnsi="Calibri"/>
                <w:b/>
                <w:bCs/>
                <w:lang w:eastAsia="en-US"/>
              </w:rPr>
              <w:t>: Proposed enforcement powers –</w:t>
            </w:r>
            <w:r w:rsidR="58B12B91" w:rsidRPr="00A41F1C">
              <w:rPr>
                <w:rFonts w:ascii="Calibri" w:eastAsia="Calibri" w:hAnsi="Calibri"/>
                <w:b/>
                <w:bCs/>
                <w:lang w:eastAsia="en-US"/>
              </w:rPr>
              <w:t xml:space="preserve"> court </w:t>
            </w:r>
            <w:r w:rsidRPr="00A41F1C">
              <w:rPr>
                <w:rFonts w:ascii="Calibri" w:eastAsia="Calibri" w:hAnsi="Calibri"/>
                <w:b/>
                <w:bCs/>
                <w:lang w:eastAsia="en-US"/>
              </w:rPr>
              <w:t>enforceable undertakings</w:t>
            </w:r>
          </w:p>
          <w:p w14:paraId="768608CA" w14:textId="77777777" w:rsidR="00F13678" w:rsidRDefault="00F13678" w:rsidP="00F2248F">
            <w:pPr>
              <w:pStyle w:val="Header"/>
              <w:keepNext/>
              <w:keepLines/>
              <w:widowControl/>
              <w:numPr>
                <w:ilvl w:val="0"/>
                <w:numId w:val="31"/>
              </w:numPr>
              <w:tabs>
                <w:tab w:val="clear" w:pos="4320"/>
                <w:tab w:val="clear" w:pos="8640"/>
              </w:tabs>
              <w:contextualSpacing/>
              <w:rPr>
                <w:rFonts w:ascii="Calibri" w:hAnsi="Calibri" w:cs="Arial"/>
                <w:lang w:val="en-AU"/>
              </w:rPr>
            </w:pPr>
            <w:r w:rsidRPr="2F00E841">
              <w:rPr>
                <w:rFonts w:ascii="Calibri" w:hAnsi="Calibri" w:cs="Arial"/>
                <w:lang w:val="en-AU"/>
              </w:rPr>
              <w:t xml:space="preserve">Should the ICRC be able to seek court enforceable undertakings from a utility or energy retailer? </w:t>
            </w:r>
          </w:p>
          <w:p w14:paraId="0F0C287E" w14:textId="77777777" w:rsidR="00F13678" w:rsidRDefault="00F13678" w:rsidP="00F2248F">
            <w:pPr>
              <w:pStyle w:val="Header"/>
              <w:keepNext/>
              <w:keepLines/>
              <w:widowControl/>
              <w:numPr>
                <w:ilvl w:val="1"/>
                <w:numId w:val="31"/>
              </w:numPr>
              <w:tabs>
                <w:tab w:val="clear" w:pos="4320"/>
                <w:tab w:val="clear" w:pos="8640"/>
              </w:tabs>
              <w:contextualSpacing/>
              <w:rPr>
                <w:rFonts w:ascii="Calibri" w:hAnsi="Calibri" w:cs="Arial"/>
                <w:lang w:val="en-AU"/>
              </w:rPr>
            </w:pPr>
            <w:r w:rsidRPr="14BE2A8B">
              <w:rPr>
                <w:rFonts w:ascii="Calibri" w:hAnsi="Calibri" w:cs="Arial"/>
                <w:lang w:val="en-AU"/>
              </w:rPr>
              <w:t>If yes, what matters need to be considered in developing this power?</w:t>
            </w:r>
          </w:p>
          <w:p w14:paraId="258A4698" w14:textId="2212F07E" w:rsidR="48B7526B" w:rsidRDefault="48B7526B" w:rsidP="2F00E841">
            <w:pPr>
              <w:pStyle w:val="Header"/>
              <w:widowControl/>
              <w:tabs>
                <w:tab w:val="clear" w:pos="4320"/>
                <w:tab w:val="clear" w:pos="8640"/>
              </w:tabs>
              <w:contextualSpacing/>
              <w:rPr>
                <w:rFonts w:ascii="Calibri" w:hAnsi="Calibri" w:cs="Arial"/>
                <w:lang w:val="en-AU"/>
              </w:rPr>
            </w:pPr>
          </w:p>
        </w:tc>
      </w:tr>
    </w:tbl>
    <w:p w14:paraId="11756282" w14:textId="77777777" w:rsidR="0B1406A9" w:rsidRDefault="0B1406A9" w:rsidP="1D8F48DA">
      <w:pPr>
        <w:pStyle w:val="Heading2"/>
        <w:rPr>
          <w:i w:val="0"/>
          <w:iCs w:val="0"/>
        </w:rPr>
      </w:pPr>
      <w:bookmarkStart w:id="40" w:name="_Toc146284770"/>
      <w:r w:rsidRPr="1D8F48DA">
        <w:rPr>
          <w:i w:val="0"/>
          <w:iCs w:val="0"/>
        </w:rPr>
        <w:lastRenderedPageBreak/>
        <w:t>Infringement notices</w:t>
      </w:r>
      <w:bookmarkEnd w:id="40"/>
    </w:p>
    <w:p w14:paraId="2E4DEFEC" w14:textId="5EFF24E1" w:rsidR="001A3A18" w:rsidRDefault="0B1406A9" w:rsidP="1D8F48DA">
      <w:pPr>
        <w:spacing w:before="180" w:after="80" w:line="260" w:lineRule="atLeast"/>
        <w:rPr>
          <w:rFonts w:ascii="Calibri" w:eastAsia="SimSun" w:hAnsi="Calibri"/>
          <w:color w:val="000000" w:themeColor="text1"/>
          <w:lang w:eastAsia="zh-CN"/>
        </w:rPr>
      </w:pPr>
      <w:r w:rsidRPr="1D8F48DA">
        <w:rPr>
          <w:rFonts w:ascii="Calibri" w:eastAsia="SimSun" w:hAnsi="Calibri"/>
          <w:color w:val="000000" w:themeColor="text1"/>
          <w:lang w:eastAsia="zh-CN"/>
        </w:rPr>
        <w:t xml:space="preserve">The ability to issue an infringement notice would authorise the ICRC to issue a financial penalty on a regulated entity when there was a reasonable belief the entity had not complied with the law. This mechanism is commonly used by other regulators to address lesser breaches of conduct </w:t>
      </w:r>
      <w:proofErr w:type="gramStart"/>
      <w:r w:rsidRPr="1D8F48DA">
        <w:rPr>
          <w:rFonts w:ascii="Calibri" w:eastAsia="SimSun" w:hAnsi="Calibri"/>
          <w:color w:val="000000" w:themeColor="text1"/>
          <w:lang w:eastAsia="zh-CN"/>
        </w:rPr>
        <w:t>obligations</w:t>
      </w:r>
      <w:r w:rsidR="1A014AFF" w:rsidRPr="1D8F48DA">
        <w:rPr>
          <w:rFonts w:ascii="Calibri" w:eastAsia="SimSun" w:hAnsi="Calibri"/>
          <w:color w:val="000000" w:themeColor="text1"/>
          <w:lang w:eastAsia="zh-CN"/>
        </w:rPr>
        <w:t xml:space="preserve">, </w:t>
      </w:r>
      <w:r w:rsidR="42DAC875" w:rsidRPr="1D8F48DA">
        <w:rPr>
          <w:rFonts w:ascii="Calibri" w:eastAsia="SimSun" w:hAnsi="Calibri"/>
          <w:color w:val="000000" w:themeColor="text1"/>
          <w:lang w:eastAsia="zh-CN"/>
        </w:rPr>
        <w:t>and</w:t>
      </w:r>
      <w:proofErr w:type="gramEnd"/>
      <w:r w:rsidR="42DAC875" w:rsidRPr="1D8F48DA">
        <w:rPr>
          <w:rFonts w:ascii="Calibri" w:eastAsia="SimSun" w:hAnsi="Calibri"/>
          <w:color w:val="000000" w:themeColor="text1"/>
          <w:lang w:eastAsia="zh-CN"/>
        </w:rPr>
        <w:t xml:space="preserve"> provides the potential for speedier resolution of matters </w:t>
      </w:r>
      <w:r w:rsidR="552FAF43" w:rsidRPr="1D8F48DA">
        <w:rPr>
          <w:rFonts w:ascii="Calibri" w:eastAsia="SimSun" w:hAnsi="Calibri"/>
          <w:color w:val="000000" w:themeColor="text1"/>
          <w:lang w:eastAsia="zh-CN"/>
        </w:rPr>
        <w:t xml:space="preserve">than action </w:t>
      </w:r>
      <w:r w:rsidR="42DAC875" w:rsidRPr="1D8F48DA">
        <w:rPr>
          <w:rFonts w:ascii="Calibri" w:eastAsia="SimSun" w:hAnsi="Calibri"/>
          <w:color w:val="000000" w:themeColor="text1"/>
          <w:lang w:eastAsia="zh-CN"/>
        </w:rPr>
        <w:t>through the Courts</w:t>
      </w:r>
      <w:r w:rsidRPr="1D8F48DA">
        <w:rPr>
          <w:rFonts w:ascii="Calibri" w:eastAsia="SimSun" w:hAnsi="Calibri"/>
          <w:color w:val="000000" w:themeColor="text1"/>
          <w:lang w:eastAsia="zh-CN"/>
        </w:rPr>
        <w:t>.</w:t>
      </w:r>
    </w:p>
    <w:p w14:paraId="58D010CF" w14:textId="3D26FE04" w:rsidR="0B1406A9" w:rsidRDefault="0B1406A9" w:rsidP="1D8F48DA">
      <w:pPr>
        <w:spacing w:before="180" w:after="80" w:line="260" w:lineRule="atLeast"/>
        <w:rPr>
          <w:rFonts w:ascii="Calibri" w:eastAsia="SimSun" w:hAnsi="Calibri"/>
          <w:color w:val="000000" w:themeColor="text1"/>
          <w:lang w:eastAsia="zh-CN"/>
        </w:rPr>
      </w:pPr>
      <w:r w:rsidRPr="1D8F48DA">
        <w:rPr>
          <w:rFonts w:ascii="Calibri" w:eastAsia="SimSun" w:hAnsi="Calibri"/>
          <w:color w:val="000000" w:themeColor="text1"/>
          <w:lang w:eastAsia="zh-CN"/>
        </w:rPr>
        <w:t xml:space="preserve">An infringement notice power would provide for the ICRC to issue a penalty notice to the regulated entity. The notice would set out the alleged contravention and the facts or evidence relied upon by the commission in issuing the notice. The regulated entity then would have the option to pay the infringement notice amount without admission. </w:t>
      </w:r>
    </w:p>
    <w:p w14:paraId="3D75BC89" w14:textId="06589577" w:rsidR="0B1406A9" w:rsidRDefault="0B1406A9" w:rsidP="1D8F48DA">
      <w:pPr>
        <w:spacing w:before="180" w:after="80" w:line="260" w:lineRule="atLeast"/>
        <w:rPr>
          <w:rFonts w:ascii="Calibri" w:eastAsia="SimSun" w:hAnsi="Calibri"/>
          <w:color w:val="000000" w:themeColor="text1"/>
          <w:lang w:eastAsia="zh-CN"/>
        </w:rPr>
      </w:pPr>
      <w:r w:rsidRPr="1D8F48DA">
        <w:rPr>
          <w:rFonts w:ascii="Calibri" w:eastAsia="SimSun" w:hAnsi="Calibri"/>
          <w:color w:val="000000" w:themeColor="text1"/>
          <w:lang w:eastAsia="zh-CN"/>
        </w:rPr>
        <w:t xml:space="preserve">Alternatively, the entity could choose not to pay the infringement notice penalty, at which point the ICRC would have the choice to initiate </w:t>
      </w:r>
      <w:r w:rsidR="007F2175">
        <w:rPr>
          <w:rFonts w:ascii="Calibri" w:eastAsia="SimSun" w:hAnsi="Calibri"/>
          <w:color w:val="000000" w:themeColor="text1"/>
          <w:lang w:eastAsia="zh-CN"/>
        </w:rPr>
        <w:t xml:space="preserve">civil </w:t>
      </w:r>
      <w:r w:rsidRPr="1D8F48DA">
        <w:rPr>
          <w:rFonts w:ascii="Calibri" w:eastAsia="SimSun" w:hAnsi="Calibri"/>
          <w:color w:val="000000" w:themeColor="text1"/>
          <w:lang w:eastAsia="zh-CN"/>
        </w:rPr>
        <w:t>proceedings. The Court would need to consider whether there was a breach of the law, and if the contravention was proven, the maximum sanction available to the Court would be substantially greater than the amount of penalty under the infringement notice.</w:t>
      </w:r>
    </w:p>
    <w:p w14:paraId="04239AF9" w14:textId="404E343A" w:rsidR="0B1406A9" w:rsidRDefault="0B1406A9" w:rsidP="1D8F48DA">
      <w:pPr>
        <w:spacing w:before="180" w:after="80" w:line="260" w:lineRule="atLeast"/>
        <w:rPr>
          <w:rFonts w:ascii="Calibri" w:eastAsia="SimSun" w:hAnsi="Calibri"/>
          <w:color w:val="000000" w:themeColor="text1"/>
          <w:lang w:eastAsia="zh-CN"/>
        </w:rPr>
      </w:pPr>
      <w:r w:rsidRPr="1D8F48DA">
        <w:rPr>
          <w:rFonts w:ascii="Calibri" w:eastAsia="SimSun" w:hAnsi="Calibri"/>
          <w:color w:val="000000" w:themeColor="text1"/>
          <w:lang w:eastAsia="zh-CN"/>
        </w:rPr>
        <w:t>However, noting the role of infringement notices to deal with low to mid-level breaches, if the regulated entity chooses to pay the financial penalty set out in the infringement notice, it would not be possible to commence court proceedings for the alleged contravention.</w:t>
      </w:r>
    </w:p>
    <w:p w14:paraId="4FC45FD9" w14:textId="77777777" w:rsidR="0B1406A9" w:rsidRDefault="0B1406A9" w:rsidP="1D8F48DA">
      <w:pPr>
        <w:spacing w:before="180" w:after="80" w:line="260" w:lineRule="atLeast"/>
        <w:jc w:val="both"/>
        <w:rPr>
          <w:rFonts w:ascii="Calibri" w:eastAsia="SimSun" w:hAnsi="Calibri"/>
          <w:i/>
          <w:iCs/>
          <w:color w:val="000000" w:themeColor="text1"/>
          <w:lang w:eastAsia="zh-CN"/>
        </w:rPr>
      </w:pPr>
      <w:r w:rsidRPr="1D8F48DA">
        <w:rPr>
          <w:rFonts w:ascii="Calibri" w:eastAsia="SimSun" w:hAnsi="Calibri"/>
          <w:i/>
          <w:iCs/>
          <w:color w:val="000000" w:themeColor="text1"/>
          <w:lang w:eastAsia="zh-CN"/>
        </w:rPr>
        <w:t>How the infringement notice might work in practice:</w:t>
      </w:r>
    </w:p>
    <w:p w14:paraId="66E6F5F6" w14:textId="7ABE2CE8" w:rsidR="0B1406A9" w:rsidRDefault="0B1406A9" w:rsidP="1D8F48DA">
      <w:pPr>
        <w:numPr>
          <w:ilvl w:val="0"/>
          <w:numId w:val="14"/>
        </w:numPr>
        <w:spacing w:before="180" w:after="80" w:line="260" w:lineRule="atLeast"/>
        <w:rPr>
          <w:rFonts w:ascii="Calibri" w:eastAsia="SimSun" w:hAnsi="Calibri"/>
          <w:color w:val="000000" w:themeColor="text1"/>
          <w:lang w:eastAsia="zh-CN"/>
        </w:rPr>
      </w:pPr>
      <w:r w:rsidRPr="1D8F48DA">
        <w:rPr>
          <w:rFonts w:ascii="Calibri" w:eastAsia="SimSun" w:hAnsi="Calibri"/>
          <w:color w:val="000000" w:themeColor="text1"/>
          <w:lang w:eastAsia="zh-CN"/>
        </w:rPr>
        <w:t>Utility provider A has a licence condition to keep records to enable them to meet their reporting requirements, such as to notify the ICRC of failure to meet guaranteed service level requirements. This information then ensures rebates can be provided to customers affected by the failure to meet service level requirements.</w:t>
      </w:r>
    </w:p>
    <w:p w14:paraId="7E610E2A" w14:textId="77777777" w:rsidR="0B1406A9" w:rsidRDefault="0B1406A9" w:rsidP="1D8F48DA">
      <w:pPr>
        <w:numPr>
          <w:ilvl w:val="0"/>
          <w:numId w:val="14"/>
        </w:numPr>
        <w:spacing w:before="180" w:after="80" w:line="260" w:lineRule="atLeast"/>
        <w:rPr>
          <w:rFonts w:ascii="Calibri" w:eastAsia="SimSun" w:hAnsi="Calibri"/>
          <w:color w:val="000000" w:themeColor="text1"/>
          <w:lang w:eastAsia="zh-CN"/>
        </w:rPr>
      </w:pPr>
      <w:r w:rsidRPr="1D8F48DA">
        <w:rPr>
          <w:rFonts w:ascii="Calibri" w:eastAsia="SimSun" w:hAnsi="Calibri"/>
          <w:color w:val="000000" w:themeColor="text1"/>
          <w:lang w:eastAsia="zh-CN"/>
        </w:rPr>
        <w:t xml:space="preserve">While this obligation is important, it is unlikely to be desirable to take up the resources of the criminal justice system to seek a sanction for failure to comply with the obligation. An infringement notice would allow the issue to be addressed quickly and any repetition could invite consideration of stronger enforcement action. </w:t>
      </w:r>
    </w:p>
    <w:p w14:paraId="5A89064E" w14:textId="2A796FFD" w:rsidR="00357632" w:rsidRPr="001A3A18" w:rsidRDefault="0B1406A9" w:rsidP="001A3A18">
      <w:pPr>
        <w:rPr>
          <w:rFonts w:ascii="Calibri" w:eastAsia="SimSun" w:hAnsi="Calibri"/>
          <w:b/>
          <w:bCs/>
          <w:i/>
          <w:iCs/>
          <w:color w:val="000000" w:themeColor="text1"/>
          <w:lang w:eastAsia="zh-CN"/>
        </w:rPr>
      </w:pPr>
      <w:r w:rsidRPr="000B7298">
        <w:rPr>
          <w:rFonts w:ascii="Calibri" w:eastAsia="SimSun" w:hAnsi="Calibri"/>
          <w:b/>
          <w:bCs/>
          <w:i/>
          <w:iCs/>
          <w:color w:val="000000" w:themeColor="text1"/>
          <w:lang w:eastAsia="zh-CN"/>
        </w:rPr>
        <w:t>Noting the AER and the ICRC enforce similar obligations, the ACT would look to ensure there is parity in the financial sanction from an infringement notice for comparable conduct.</w:t>
      </w:r>
    </w:p>
    <w:p w14:paraId="198C459C" w14:textId="3570A4AD" w:rsidR="2F00E841" w:rsidRDefault="2F00E841" w:rsidP="2F00E841">
      <w:pPr>
        <w:keepLines/>
      </w:pPr>
    </w:p>
    <w:tbl>
      <w:tblPr>
        <w:tblStyle w:val="TableGrid"/>
        <w:tblW w:w="0" w:type="auto"/>
        <w:tblLayout w:type="fixed"/>
        <w:tblLook w:val="06A0" w:firstRow="1" w:lastRow="0" w:firstColumn="1" w:lastColumn="0" w:noHBand="1" w:noVBand="1"/>
      </w:tblPr>
      <w:tblGrid>
        <w:gridCol w:w="9015"/>
      </w:tblGrid>
      <w:tr w:rsidR="2F00E841" w14:paraId="1EC5F923" w14:textId="77777777" w:rsidTr="05003B1F">
        <w:trPr>
          <w:trHeight w:val="300"/>
        </w:trPr>
        <w:tc>
          <w:tcPr>
            <w:tcW w:w="9015" w:type="dxa"/>
            <w:shd w:val="clear" w:color="auto" w:fill="D9D9D9" w:themeFill="background1" w:themeFillShade="D9"/>
          </w:tcPr>
          <w:p w14:paraId="0517FD4D" w14:textId="77777777" w:rsidR="005F62DF" w:rsidRDefault="005F62DF" w:rsidP="2F00E841">
            <w:pPr>
              <w:spacing w:line="259" w:lineRule="auto"/>
              <w:rPr>
                <w:rFonts w:ascii="Calibri" w:eastAsia="Calibri" w:hAnsi="Calibri"/>
                <w:b/>
                <w:bCs/>
                <w:lang w:eastAsia="en-US"/>
              </w:rPr>
            </w:pPr>
          </w:p>
          <w:p w14:paraId="6F09BC54" w14:textId="71E6A7CC" w:rsidR="40B81889" w:rsidRPr="005F62DF" w:rsidRDefault="40B81889" w:rsidP="2F00E841">
            <w:pPr>
              <w:spacing w:line="259" w:lineRule="auto"/>
              <w:rPr>
                <w:rFonts w:ascii="Calibri" w:eastAsia="Calibri" w:hAnsi="Calibri"/>
                <w:b/>
                <w:bCs/>
                <w:lang w:eastAsia="en-US"/>
              </w:rPr>
            </w:pPr>
            <w:r w:rsidRPr="005F62DF">
              <w:rPr>
                <w:rFonts w:ascii="Calibri" w:eastAsia="Calibri" w:hAnsi="Calibri"/>
                <w:b/>
                <w:bCs/>
                <w:lang w:eastAsia="en-US"/>
              </w:rPr>
              <w:t>Consultation question</w:t>
            </w:r>
            <w:r w:rsidR="005F62DF" w:rsidRPr="005F62DF">
              <w:rPr>
                <w:rFonts w:ascii="Calibri" w:eastAsia="Calibri" w:hAnsi="Calibri"/>
                <w:b/>
                <w:bCs/>
                <w:lang w:eastAsia="en-US"/>
              </w:rPr>
              <w:t xml:space="preserve"> 4</w:t>
            </w:r>
            <w:r w:rsidRPr="005F62DF">
              <w:rPr>
                <w:rFonts w:ascii="Calibri" w:eastAsia="Calibri" w:hAnsi="Calibri"/>
                <w:b/>
                <w:bCs/>
                <w:lang w:eastAsia="en-US"/>
              </w:rPr>
              <w:t>:</w:t>
            </w:r>
            <w:r w:rsidR="008011E8">
              <w:rPr>
                <w:rFonts w:ascii="Calibri" w:eastAsia="Calibri" w:hAnsi="Calibri"/>
                <w:b/>
                <w:bCs/>
                <w:lang w:eastAsia="en-US"/>
              </w:rPr>
              <w:t xml:space="preserve"> </w:t>
            </w:r>
            <w:r w:rsidRPr="005F62DF">
              <w:rPr>
                <w:rFonts w:ascii="Calibri" w:eastAsia="Calibri" w:hAnsi="Calibri"/>
                <w:b/>
                <w:bCs/>
                <w:lang w:eastAsia="en-US"/>
              </w:rPr>
              <w:t>Proposed enforcement powers – infringement notices</w:t>
            </w:r>
          </w:p>
          <w:p w14:paraId="6160D8D4" w14:textId="0CFDCAB2" w:rsidR="00D32054" w:rsidRDefault="00D32054" w:rsidP="00F2248F">
            <w:pPr>
              <w:pStyle w:val="Header"/>
              <w:keepNext/>
              <w:keepLines/>
              <w:widowControl/>
              <w:numPr>
                <w:ilvl w:val="0"/>
                <w:numId w:val="32"/>
              </w:numPr>
              <w:tabs>
                <w:tab w:val="clear" w:pos="4320"/>
                <w:tab w:val="clear" w:pos="8640"/>
              </w:tabs>
              <w:contextualSpacing/>
              <w:rPr>
                <w:rFonts w:ascii="Calibri" w:hAnsi="Calibri" w:cs="Arial"/>
                <w:lang w:val="en-AU"/>
              </w:rPr>
            </w:pPr>
            <w:r w:rsidRPr="2F00E841">
              <w:rPr>
                <w:rFonts w:ascii="Calibri" w:hAnsi="Calibri" w:cs="Arial"/>
                <w:lang w:val="en-AU"/>
              </w:rPr>
              <w:t xml:space="preserve">Should the ICRC be able to issue infringement notices to a utility or energy retailer? </w:t>
            </w:r>
          </w:p>
          <w:p w14:paraId="5B6B1A86" w14:textId="77777777" w:rsidR="00D32054" w:rsidRDefault="00D32054" w:rsidP="00F2248F">
            <w:pPr>
              <w:pStyle w:val="Header"/>
              <w:keepNext/>
              <w:keepLines/>
              <w:widowControl/>
              <w:numPr>
                <w:ilvl w:val="1"/>
                <w:numId w:val="32"/>
              </w:numPr>
              <w:tabs>
                <w:tab w:val="clear" w:pos="4320"/>
                <w:tab w:val="clear" w:pos="8640"/>
              </w:tabs>
              <w:contextualSpacing/>
              <w:rPr>
                <w:rFonts w:ascii="Calibri" w:hAnsi="Calibri" w:cs="Arial"/>
                <w:lang w:val="en-AU"/>
              </w:rPr>
            </w:pPr>
            <w:r w:rsidRPr="14BE2A8B">
              <w:rPr>
                <w:rFonts w:ascii="Calibri" w:hAnsi="Calibri" w:cs="Arial"/>
                <w:lang w:val="en-AU"/>
              </w:rPr>
              <w:t>If yes, should the level of infringement notice penalties be the same as those available to the AER for comparable conduct?</w:t>
            </w:r>
          </w:p>
          <w:p w14:paraId="36E57AE5" w14:textId="77777777" w:rsidR="00D32054" w:rsidRDefault="00D32054" w:rsidP="00F2248F">
            <w:pPr>
              <w:pStyle w:val="Header"/>
              <w:keepNext/>
              <w:keepLines/>
              <w:widowControl/>
              <w:numPr>
                <w:ilvl w:val="1"/>
                <w:numId w:val="32"/>
              </w:numPr>
              <w:tabs>
                <w:tab w:val="clear" w:pos="4320"/>
                <w:tab w:val="clear" w:pos="8640"/>
              </w:tabs>
              <w:contextualSpacing/>
              <w:rPr>
                <w:rFonts w:ascii="Calibri" w:hAnsi="Calibri" w:cs="Arial"/>
                <w:lang w:val="en-AU"/>
              </w:rPr>
            </w:pPr>
            <w:r w:rsidRPr="14BE2A8B">
              <w:rPr>
                <w:rFonts w:ascii="Calibri" w:hAnsi="Calibri" w:cs="Arial"/>
                <w:lang w:val="en-AU"/>
              </w:rPr>
              <w:t xml:space="preserve">What matters need to be considered in developing an infringement notice power? </w:t>
            </w:r>
          </w:p>
          <w:p w14:paraId="6CBAE357" w14:textId="1CA87278" w:rsidR="40B81889" w:rsidRDefault="40B81889" w:rsidP="2F00E841">
            <w:pPr>
              <w:pStyle w:val="Header"/>
              <w:widowControl/>
              <w:tabs>
                <w:tab w:val="clear" w:pos="4320"/>
                <w:tab w:val="clear" w:pos="8640"/>
              </w:tabs>
              <w:contextualSpacing/>
              <w:rPr>
                <w:rFonts w:ascii="Calibri" w:hAnsi="Calibri" w:cs="Arial"/>
                <w:lang w:val="en-AU"/>
              </w:rPr>
            </w:pPr>
          </w:p>
        </w:tc>
      </w:tr>
    </w:tbl>
    <w:p w14:paraId="1EF29F9D" w14:textId="07BACAE8" w:rsidR="00816CDB" w:rsidRDefault="00433406" w:rsidP="00E00AD9">
      <w:pPr>
        <w:pStyle w:val="Heading2"/>
        <w:keepLines/>
        <w:spacing w:before="180" w:after="80" w:line="260" w:lineRule="atLeast"/>
        <w:jc w:val="both"/>
        <w:rPr>
          <w:rFonts w:cs="Arial"/>
        </w:rPr>
      </w:pPr>
      <w:bookmarkStart w:id="41" w:name="_Toc146284771"/>
      <w:r w:rsidRPr="7F8054BD">
        <w:rPr>
          <w:rFonts w:cs="Arial"/>
          <w:i w:val="0"/>
          <w:iCs w:val="0"/>
        </w:rPr>
        <w:lastRenderedPageBreak/>
        <w:t xml:space="preserve">Civil </w:t>
      </w:r>
      <w:r w:rsidR="00FD3CCA" w:rsidRPr="7F8054BD">
        <w:rPr>
          <w:rFonts w:cs="Arial"/>
          <w:i w:val="0"/>
          <w:iCs w:val="0"/>
        </w:rPr>
        <w:t>pecuniary penalties and injunctions</w:t>
      </w:r>
      <w:bookmarkEnd w:id="41"/>
    </w:p>
    <w:p w14:paraId="5CE21988" w14:textId="77777777" w:rsidR="00FD3CCA" w:rsidRDefault="00433406" w:rsidP="00433406">
      <w:pPr>
        <w:suppressAutoHyphens/>
        <w:spacing w:before="180" w:after="80" w:line="260" w:lineRule="atLeast"/>
        <w:rPr>
          <w:rFonts w:ascii="Calibri" w:eastAsia="SimSun" w:hAnsi="Calibri"/>
          <w:color w:val="000000"/>
          <w:lang w:eastAsia="zh-CN"/>
        </w:rPr>
      </w:pPr>
      <w:r w:rsidRPr="00433406">
        <w:rPr>
          <w:rFonts w:ascii="Calibri" w:eastAsia="SimSun" w:hAnsi="Calibri"/>
          <w:color w:val="000000"/>
          <w:lang w:eastAsia="zh-CN"/>
        </w:rPr>
        <w:t xml:space="preserve">The ACT Government is also considering whether the </w:t>
      </w:r>
      <w:r w:rsidR="00FD3CCA">
        <w:rPr>
          <w:rFonts w:ascii="Calibri" w:eastAsia="SimSun" w:hAnsi="Calibri"/>
          <w:color w:val="000000"/>
          <w:lang w:eastAsia="zh-CN"/>
        </w:rPr>
        <w:t>ICRC</w:t>
      </w:r>
      <w:r w:rsidR="00FD3CCA" w:rsidRPr="00433406">
        <w:rPr>
          <w:rFonts w:ascii="Calibri" w:eastAsia="SimSun" w:hAnsi="Calibri"/>
          <w:color w:val="000000"/>
          <w:lang w:eastAsia="zh-CN"/>
        </w:rPr>
        <w:t xml:space="preserve"> </w:t>
      </w:r>
      <w:r w:rsidRPr="00433406">
        <w:rPr>
          <w:rFonts w:ascii="Calibri" w:eastAsia="SimSun" w:hAnsi="Calibri"/>
          <w:color w:val="000000"/>
          <w:lang w:eastAsia="zh-CN"/>
        </w:rPr>
        <w:t xml:space="preserve">should </w:t>
      </w:r>
      <w:r w:rsidR="00FD3CCA">
        <w:rPr>
          <w:rFonts w:ascii="Calibri" w:eastAsia="SimSun" w:hAnsi="Calibri"/>
          <w:color w:val="000000"/>
          <w:lang w:eastAsia="zh-CN"/>
        </w:rPr>
        <w:t>be able to seek civil pecuniary penalties, from a Court, as is possible in other jurisdictions.</w:t>
      </w:r>
    </w:p>
    <w:p w14:paraId="68FA6BE4" w14:textId="41003B04" w:rsidR="00FD3CCA" w:rsidRDefault="00FD3CCA" w:rsidP="00433406">
      <w:pPr>
        <w:suppressAutoHyphens/>
        <w:spacing w:before="180" w:after="80" w:line="260" w:lineRule="atLeast"/>
        <w:rPr>
          <w:rFonts w:ascii="Calibri" w:eastAsia="SimSun" w:hAnsi="Calibri"/>
          <w:color w:val="000000"/>
          <w:lang w:eastAsia="zh-CN"/>
        </w:rPr>
      </w:pPr>
      <w:r w:rsidRPr="009664A4">
        <w:rPr>
          <w:rFonts w:ascii="Calibri" w:eastAsia="SimSun" w:hAnsi="Calibri"/>
          <w:color w:val="000000"/>
          <w:lang w:eastAsia="zh-CN"/>
        </w:rPr>
        <w:t>Comparable obligations as those contained in the Utilities Act can, if established</w:t>
      </w:r>
      <w:r w:rsidR="00057E58" w:rsidRPr="009664A4">
        <w:rPr>
          <w:rFonts w:ascii="Calibri" w:eastAsia="SimSun" w:hAnsi="Calibri"/>
          <w:color w:val="000000"/>
          <w:lang w:eastAsia="zh-CN"/>
        </w:rPr>
        <w:t xml:space="preserve"> by the AER</w:t>
      </w:r>
      <w:r w:rsidRPr="009664A4">
        <w:rPr>
          <w:rFonts w:ascii="Calibri" w:eastAsia="SimSun" w:hAnsi="Calibri"/>
          <w:color w:val="000000"/>
          <w:lang w:eastAsia="zh-CN"/>
        </w:rPr>
        <w:t xml:space="preserve">, result in maximum court awarded civil pecuniary penalties of </w:t>
      </w:r>
      <w:r w:rsidR="009664A4" w:rsidRPr="009664A4">
        <w:rPr>
          <w:rFonts w:ascii="Calibri" w:eastAsia="SimSun" w:hAnsi="Calibri"/>
          <w:color w:val="000000"/>
          <w:lang w:eastAsia="zh-CN"/>
        </w:rPr>
        <w:t>around $10 million for companies.</w:t>
      </w:r>
    </w:p>
    <w:p w14:paraId="6A0A02D6" w14:textId="77777777" w:rsidR="00FD3CCA" w:rsidRDefault="00433406" w:rsidP="00433406">
      <w:pPr>
        <w:suppressAutoHyphens/>
        <w:spacing w:before="180" w:after="80" w:line="260" w:lineRule="atLeast"/>
        <w:rPr>
          <w:rFonts w:ascii="Calibri" w:eastAsia="SimSun" w:hAnsi="Calibri"/>
          <w:color w:val="000000"/>
          <w:lang w:eastAsia="zh-CN"/>
        </w:rPr>
      </w:pPr>
      <w:r w:rsidRPr="00433406">
        <w:rPr>
          <w:rFonts w:ascii="Calibri" w:eastAsia="SimSun" w:hAnsi="Calibri"/>
          <w:color w:val="000000"/>
          <w:lang w:eastAsia="zh-CN"/>
        </w:rPr>
        <w:t>As noted previously, the</w:t>
      </w:r>
      <w:r w:rsidR="00FD3CCA">
        <w:rPr>
          <w:rFonts w:ascii="Calibri" w:eastAsia="SimSun" w:hAnsi="Calibri"/>
          <w:color w:val="000000"/>
          <w:lang w:eastAsia="zh-CN"/>
        </w:rPr>
        <w:t xml:space="preserve">re is likely </w:t>
      </w:r>
      <w:r w:rsidR="007C43CD">
        <w:rPr>
          <w:rFonts w:ascii="Calibri" w:eastAsia="SimSun" w:hAnsi="Calibri"/>
          <w:color w:val="000000"/>
          <w:lang w:eastAsia="zh-CN"/>
        </w:rPr>
        <w:t>a</w:t>
      </w:r>
      <w:r w:rsidR="00FD3CCA">
        <w:rPr>
          <w:rFonts w:ascii="Calibri" w:eastAsia="SimSun" w:hAnsi="Calibri"/>
          <w:color w:val="000000"/>
          <w:lang w:eastAsia="zh-CN"/>
        </w:rPr>
        <w:t xml:space="preserve"> benefit in the same type of conduct attracting the same type of sanction, such that the entity has the same incentive to comply with ACT obligations as Commonwealth obligations.</w:t>
      </w:r>
    </w:p>
    <w:p w14:paraId="1D1BB2FF" w14:textId="09FB71BF" w:rsidR="00FD3CCA" w:rsidRDefault="007C43CD" w:rsidP="00433406">
      <w:pPr>
        <w:suppressAutoHyphens/>
        <w:spacing w:before="180" w:after="80" w:line="260" w:lineRule="atLeast"/>
        <w:rPr>
          <w:rFonts w:ascii="Calibri" w:eastAsia="SimSun" w:hAnsi="Calibri"/>
          <w:color w:val="000000"/>
          <w:lang w:eastAsia="zh-CN"/>
        </w:rPr>
      </w:pPr>
      <w:r>
        <w:rPr>
          <w:rFonts w:ascii="Calibri" w:eastAsia="SimSun" w:hAnsi="Calibri"/>
          <w:color w:val="000000"/>
          <w:lang w:eastAsia="zh-CN"/>
        </w:rPr>
        <w:t xml:space="preserve">For example, since 2014 </w:t>
      </w:r>
      <w:r w:rsidR="006C2A3E">
        <w:rPr>
          <w:rFonts w:ascii="Calibri" w:eastAsia="SimSun" w:hAnsi="Calibri"/>
          <w:color w:val="000000"/>
          <w:lang w:eastAsia="zh-CN"/>
        </w:rPr>
        <w:t xml:space="preserve">Queensland </w:t>
      </w:r>
      <w:r>
        <w:rPr>
          <w:rFonts w:ascii="Calibri" w:eastAsia="SimSun" w:hAnsi="Calibri"/>
          <w:color w:val="000000"/>
          <w:lang w:eastAsia="zh-CN"/>
        </w:rPr>
        <w:t xml:space="preserve">has </w:t>
      </w:r>
      <w:r w:rsidR="00535F24">
        <w:rPr>
          <w:rFonts w:ascii="Calibri" w:eastAsia="SimSun" w:hAnsi="Calibri"/>
          <w:color w:val="000000"/>
          <w:lang w:eastAsia="zh-CN"/>
        </w:rPr>
        <w:t xml:space="preserve">had </w:t>
      </w:r>
      <w:r>
        <w:rPr>
          <w:rFonts w:ascii="Calibri" w:eastAsia="SimSun" w:hAnsi="Calibri"/>
          <w:color w:val="000000"/>
          <w:lang w:eastAsia="zh-CN"/>
        </w:rPr>
        <w:t xml:space="preserve">provisions that allow a nominated regulator to have the same compliance, investigating or enforcement powers in relation to the modified sections of the National Energy Retail Law (Queensland) as the AER has in compliance, </w:t>
      </w:r>
      <w:proofErr w:type="gramStart"/>
      <w:r>
        <w:rPr>
          <w:rFonts w:ascii="Calibri" w:eastAsia="SimSun" w:hAnsi="Calibri"/>
          <w:color w:val="000000"/>
          <w:lang w:eastAsia="zh-CN"/>
        </w:rPr>
        <w:t>investigation</w:t>
      </w:r>
      <w:proofErr w:type="gramEnd"/>
      <w:r>
        <w:rPr>
          <w:rFonts w:ascii="Calibri" w:eastAsia="SimSun" w:hAnsi="Calibri"/>
          <w:color w:val="000000"/>
          <w:lang w:eastAsia="zh-CN"/>
        </w:rPr>
        <w:t xml:space="preserve"> or enforcement provisions.</w:t>
      </w:r>
    </w:p>
    <w:p w14:paraId="4AAE9FA7" w14:textId="6A741044" w:rsidR="00433406" w:rsidRDefault="00433406" w:rsidP="2A2C5D90">
      <w:pPr>
        <w:shd w:val="clear" w:color="auto" w:fill="FFFFFF" w:themeFill="background1"/>
        <w:spacing w:before="240"/>
        <w:rPr>
          <w:rFonts w:ascii="Calibri" w:eastAsia="Calibri" w:hAnsi="Calibri"/>
          <w:lang w:eastAsia="en-US"/>
        </w:rPr>
      </w:pPr>
      <w:r w:rsidRPr="1D8F48DA">
        <w:rPr>
          <w:rFonts w:ascii="Calibri" w:eastAsia="Calibri" w:hAnsi="Calibri"/>
          <w:lang w:eastAsia="en-US"/>
        </w:rPr>
        <w:t xml:space="preserve">The ACT Government is also considering the option for the </w:t>
      </w:r>
      <w:r w:rsidR="00FD3CCA" w:rsidRPr="1D8F48DA">
        <w:rPr>
          <w:rFonts w:ascii="Calibri" w:eastAsia="Calibri" w:hAnsi="Calibri"/>
          <w:lang w:eastAsia="en-US"/>
        </w:rPr>
        <w:t xml:space="preserve">ICRC </w:t>
      </w:r>
      <w:r w:rsidRPr="1D8F48DA">
        <w:rPr>
          <w:rFonts w:ascii="Calibri" w:eastAsia="Calibri" w:hAnsi="Calibri"/>
          <w:lang w:eastAsia="en-US"/>
        </w:rPr>
        <w:t xml:space="preserve">to seek a court order to compel a regulated entity to either perform an action or to refrain from performing an action. </w:t>
      </w:r>
      <w:r w:rsidR="00FD3CCA" w:rsidRPr="1D8F48DA">
        <w:rPr>
          <w:rFonts w:ascii="Calibri" w:eastAsia="Calibri" w:hAnsi="Calibri"/>
          <w:lang w:eastAsia="en-US"/>
        </w:rPr>
        <w:t xml:space="preserve">The ability to obtain injunctions from the Court </w:t>
      </w:r>
      <w:r w:rsidRPr="1D8F48DA">
        <w:rPr>
          <w:rFonts w:ascii="Calibri" w:eastAsia="Calibri" w:hAnsi="Calibri"/>
          <w:lang w:eastAsia="en-US"/>
        </w:rPr>
        <w:t>in civil proceedings</w:t>
      </w:r>
      <w:r w:rsidR="00FD3CCA" w:rsidRPr="1D8F48DA">
        <w:rPr>
          <w:rFonts w:ascii="Calibri" w:eastAsia="Calibri" w:hAnsi="Calibri"/>
          <w:lang w:eastAsia="en-US"/>
        </w:rPr>
        <w:t xml:space="preserve">, either </w:t>
      </w:r>
      <w:r w:rsidRPr="1D8F48DA">
        <w:rPr>
          <w:rFonts w:ascii="Calibri" w:eastAsia="Calibri" w:hAnsi="Calibri"/>
          <w:lang w:eastAsia="en-US"/>
        </w:rPr>
        <w:t xml:space="preserve">as </w:t>
      </w:r>
      <w:proofErr w:type="gramStart"/>
      <w:r w:rsidRPr="1D8F48DA">
        <w:rPr>
          <w:rFonts w:ascii="Calibri" w:eastAsia="Calibri" w:hAnsi="Calibri"/>
          <w:lang w:eastAsia="en-US"/>
        </w:rPr>
        <w:t>a final outcome</w:t>
      </w:r>
      <w:proofErr w:type="gramEnd"/>
      <w:r w:rsidRPr="1D8F48DA">
        <w:rPr>
          <w:rFonts w:ascii="Calibri" w:eastAsia="Calibri" w:hAnsi="Calibri"/>
          <w:lang w:eastAsia="en-US"/>
        </w:rPr>
        <w:t xml:space="preserve">, </w:t>
      </w:r>
      <w:r w:rsidR="00FD3CCA" w:rsidRPr="1D8F48DA">
        <w:rPr>
          <w:rFonts w:ascii="Calibri" w:eastAsia="Calibri" w:hAnsi="Calibri"/>
          <w:lang w:eastAsia="en-US"/>
        </w:rPr>
        <w:t xml:space="preserve">or </w:t>
      </w:r>
      <w:r w:rsidRPr="1D8F48DA">
        <w:rPr>
          <w:rFonts w:ascii="Calibri" w:eastAsia="Calibri" w:hAnsi="Calibri"/>
          <w:lang w:eastAsia="en-US"/>
        </w:rPr>
        <w:t xml:space="preserve">as a temporary </w:t>
      </w:r>
      <w:r w:rsidR="00FD3CCA" w:rsidRPr="1D8F48DA">
        <w:rPr>
          <w:rFonts w:ascii="Calibri" w:eastAsia="Calibri" w:hAnsi="Calibri"/>
          <w:lang w:eastAsia="en-US"/>
        </w:rPr>
        <w:t xml:space="preserve">order </w:t>
      </w:r>
      <w:r w:rsidRPr="1D8F48DA">
        <w:rPr>
          <w:rFonts w:ascii="Calibri" w:eastAsia="Calibri" w:hAnsi="Calibri"/>
          <w:lang w:eastAsia="en-US"/>
        </w:rPr>
        <w:t>to protect the positions of the parties while the matter is being decided by the court</w:t>
      </w:r>
      <w:r w:rsidR="00FD3CCA" w:rsidRPr="1D8F48DA">
        <w:rPr>
          <w:rFonts w:ascii="Calibri" w:eastAsia="Calibri" w:hAnsi="Calibri"/>
          <w:lang w:eastAsia="en-US"/>
        </w:rPr>
        <w:t>, is well established in like jurisdictions</w:t>
      </w:r>
      <w:r w:rsidRPr="1D8F48DA">
        <w:rPr>
          <w:rFonts w:ascii="Calibri" w:eastAsia="Calibri" w:hAnsi="Calibri"/>
          <w:lang w:eastAsia="en-US"/>
        </w:rPr>
        <w:t xml:space="preserve">. </w:t>
      </w:r>
    </w:p>
    <w:p w14:paraId="7FE74EF3" w14:textId="6E114654" w:rsidR="28161178" w:rsidRDefault="68B92AA6" w:rsidP="28161178">
      <w:pPr>
        <w:shd w:val="clear" w:color="auto" w:fill="FFFFFF" w:themeFill="background1"/>
        <w:spacing w:before="240"/>
        <w:rPr>
          <w:rFonts w:ascii="Calibri" w:eastAsia="Calibri" w:hAnsi="Calibri" w:cs="Calibri"/>
        </w:rPr>
      </w:pPr>
      <w:r w:rsidRPr="2F00E841">
        <w:rPr>
          <w:rFonts w:ascii="Calibri" w:eastAsia="Calibri" w:hAnsi="Calibri"/>
          <w:lang w:eastAsia="en-US"/>
        </w:rPr>
        <w:t xml:space="preserve">Any change in the level of pecuniary penalties </w:t>
      </w:r>
      <w:r w:rsidR="006C2B47">
        <w:rPr>
          <w:rFonts w:ascii="Calibri" w:eastAsia="Calibri" w:hAnsi="Calibri"/>
          <w:lang w:eastAsia="en-US"/>
        </w:rPr>
        <w:t>or</w:t>
      </w:r>
      <w:r w:rsidRPr="2F00E841">
        <w:rPr>
          <w:rFonts w:ascii="Calibri" w:eastAsia="Calibri" w:hAnsi="Calibri"/>
          <w:lang w:eastAsia="en-US"/>
        </w:rPr>
        <w:t xml:space="preserve"> fines payable by a regulated entity may give rise to concern that those costs are passed through to customers. </w:t>
      </w:r>
      <w:r w:rsidRPr="2F00E841">
        <w:rPr>
          <w:rFonts w:ascii="Calibri" w:eastAsia="Calibri" w:hAnsi="Calibri" w:cs="Calibri"/>
        </w:rPr>
        <w:t>Existing laws and guidelines operate to ensure that only the prudent an</w:t>
      </w:r>
      <w:r w:rsidR="472FBFF2" w:rsidRPr="2F00E841">
        <w:rPr>
          <w:rFonts w:ascii="Calibri" w:eastAsia="Calibri" w:hAnsi="Calibri" w:cs="Calibri"/>
        </w:rPr>
        <w:t xml:space="preserve">d efficient costs of the </w:t>
      </w:r>
      <w:r w:rsidR="6EE9AD6B" w:rsidRPr="2F00E841">
        <w:rPr>
          <w:rFonts w:ascii="Calibri" w:eastAsia="Calibri" w:hAnsi="Calibri" w:cs="Calibri"/>
        </w:rPr>
        <w:t xml:space="preserve">utility </w:t>
      </w:r>
      <w:r w:rsidR="472FBFF2" w:rsidRPr="2F00E841">
        <w:rPr>
          <w:rFonts w:ascii="Calibri" w:eastAsia="Calibri" w:hAnsi="Calibri" w:cs="Calibri"/>
        </w:rPr>
        <w:t>are recoverable. While these are likely to</w:t>
      </w:r>
      <w:r w:rsidRPr="2F00E841">
        <w:rPr>
          <w:rFonts w:ascii="Calibri" w:eastAsia="Calibri" w:hAnsi="Calibri" w:cs="Calibri"/>
        </w:rPr>
        <w:t xml:space="preserve"> prevent regulated utilities passing on costs of fines to consumers</w:t>
      </w:r>
      <w:r w:rsidR="35998A95" w:rsidRPr="2F00E841">
        <w:rPr>
          <w:rFonts w:ascii="Calibri" w:eastAsia="Calibri" w:hAnsi="Calibri" w:cs="Calibri"/>
        </w:rPr>
        <w:t xml:space="preserve">, feedback is sought on whether any </w:t>
      </w:r>
      <w:r w:rsidRPr="2F00E841">
        <w:rPr>
          <w:rFonts w:ascii="Calibri" w:eastAsia="Calibri" w:hAnsi="Calibri" w:cs="Calibri"/>
        </w:rPr>
        <w:t xml:space="preserve">amendment </w:t>
      </w:r>
      <w:r w:rsidR="08145827" w:rsidRPr="2F00E841">
        <w:rPr>
          <w:rFonts w:ascii="Calibri" w:eastAsia="Calibri" w:hAnsi="Calibri" w:cs="Calibri"/>
        </w:rPr>
        <w:t>is required to ensure this remains the case in any new framework.</w:t>
      </w:r>
    </w:p>
    <w:p w14:paraId="34670FAB" w14:textId="3D7705E3" w:rsidR="2F00E841" w:rsidRDefault="2F00E841" w:rsidP="2F00E841">
      <w:pPr>
        <w:shd w:val="clear" w:color="auto" w:fill="FFFFFF" w:themeFill="background1"/>
        <w:spacing w:before="240"/>
        <w:rPr>
          <w:rFonts w:ascii="Calibri" w:eastAsia="Calibri" w:hAnsi="Calibri" w:cs="Calibri"/>
        </w:rPr>
      </w:pPr>
    </w:p>
    <w:tbl>
      <w:tblPr>
        <w:tblStyle w:val="TableGrid"/>
        <w:tblW w:w="0" w:type="auto"/>
        <w:tblLayout w:type="fixed"/>
        <w:tblLook w:val="06A0" w:firstRow="1" w:lastRow="0" w:firstColumn="1" w:lastColumn="0" w:noHBand="1" w:noVBand="1"/>
      </w:tblPr>
      <w:tblGrid>
        <w:gridCol w:w="9015"/>
      </w:tblGrid>
      <w:tr w:rsidR="2F00E841" w14:paraId="27BBA7E0" w14:textId="77777777" w:rsidTr="05003B1F">
        <w:trPr>
          <w:trHeight w:val="300"/>
        </w:trPr>
        <w:tc>
          <w:tcPr>
            <w:tcW w:w="9015" w:type="dxa"/>
            <w:shd w:val="clear" w:color="auto" w:fill="D9D9D9" w:themeFill="background1" w:themeFillShade="D9"/>
          </w:tcPr>
          <w:p w14:paraId="04B87A08" w14:textId="77777777" w:rsidR="005F62DF" w:rsidRDefault="005F62DF" w:rsidP="2F00E841">
            <w:pPr>
              <w:spacing w:line="259" w:lineRule="auto"/>
              <w:rPr>
                <w:rFonts w:ascii="Calibri" w:eastAsia="Calibri" w:hAnsi="Calibri"/>
                <w:u w:val="single"/>
                <w:lang w:eastAsia="en-US"/>
              </w:rPr>
            </w:pPr>
          </w:p>
          <w:p w14:paraId="5BBA8AC7" w14:textId="50536898" w:rsidR="27DBD0F5" w:rsidRPr="005F62DF" w:rsidRDefault="38B84B14" w:rsidP="2F00E841">
            <w:pPr>
              <w:spacing w:line="259" w:lineRule="auto"/>
              <w:rPr>
                <w:rFonts w:ascii="Calibri" w:eastAsia="Calibri" w:hAnsi="Calibri"/>
                <w:b/>
                <w:bCs/>
                <w:lang w:eastAsia="en-US"/>
              </w:rPr>
            </w:pPr>
            <w:r w:rsidRPr="005F62DF">
              <w:rPr>
                <w:rFonts w:ascii="Calibri" w:eastAsia="Calibri" w:hAnsi="Calibri"/>
                <w:b/>
                <w:bCs/>
                <w:lang w:eastAsia="en-US"/>
              </w:rPr>
              <w:t>Consultation question</w:t>
            </w:r>
            <w:r w:rsidR="005F62DF" w:rsidRPr="005F62DF">
              <w:rPr>
                <w:rFonts w:ascii="Calibri" w:eastAsia="Calibri" w:hAnsi="Calibri"/>
                <w:b/>
                <w:bCs/>
                <w:lang w:eastAsia="en-US"/>
              </w:rPr>
              <w:t xml:space="preserve"> 5</w:t>
            </w:r>
            <w:r w:rsidRPr="005F62DF">
              <w:rPr>
                <w:rFonts w:ascii="Calibri" w:eastAsia="Calibri" w:hAnsi="Calibri"/>
                <w:b/>
                <w:bCs/>
                <w:lang w:eastAsia="en-US"/>
              </w:rPr>
              <w:t xml:space="preserve">: Proposed enforcement powers – </w:t>
            </w:r>
            <w:r w:rsidR="28112AB1" w:rsidRPr="005F62DF">
              <w:rPr>
                <w:rFonts w:ascii="Calibri" w:eastAsia="Calibri" w:hAnsi="Calibri"/>
                <w:b/>
                <w:bCs/>
                <w:lang w:eastAsia="en-US"/>
              </w:rPr>
              <w:t xml:space="preserve">court awarded penalties and </w:t>
            </w:r>
            <w:proofErr w:type="gramStart"/>
            <w:r w:rsidR="28112AB1" w:rsidRPr="005F62DF">
              <w:rPr>
                <w:rFonts w:ascii="Calibri" w:eastAsia="Calibri" w:hAnsi="Calibri"/>
                <w:b/>
                <w:bCs/>
                <w:lang w:eastAsia="en-US"/>
              </w:rPr>
              <w:t>inju</w:t>
            </w:r>
            <w:r w:rsidR="18798657" w:rsidRPr="005F62DF">
              <w:rPr>
                <w:rFonts w:ascii="Calibri" w:eastAsia="Calibri" w:hAnsi="Calibri"/>
                <w:b/>
                <w:bCs/>
                <w:lang w:eastAsia="en-US"/>
              </w:rPr>
              <w:t>n</w:t>
            </w:r>
            <w:r w:rsidR="28112AB1" w:rsidRPr="005F62DF">
              <w:rPr>
                <w:rFonts w:ascii="Calibri" w:eastAsia="Calibri" w:hAnsi="Calibri"/>
                <w:b/>
                <w:bCs/>
                <w:lang w:eastAsia="en-US"/>
              </w:rPr>
              <w:t>ctions</w:t>
            </w:r>
            <w:proofErr w:type="gramEnd"/>
          </w:p>
          <w:p w14:paraId="20E42A50" w14:textId="77777777" w:rsidR="005D6F2C" w:rsidRDefault="005D6F2C" w:rsidP="00A847AE">
            <w:pPr>
              <w:pStyle w:val="Header"/>
              <w:keepNext/>
              <w:keepLines/>
              <w:widowControl/>
              <w:numPr>
                <w:ilvl w:val="0"/>
                <w:numId w:val="29"/>
              </w:numPr>
              <w:tabs>
                <w:tab w:val="clear" w:pos="4320"/>
                <w:tab w:val="clear" w:pos="8640"/>
              </w:tabs>
              <w:contextualSpacing/>
              <w:rPr>
                <w:rFonts w:ascii="Calibri" w:hAnsi="Calibri" w:cs="Arial"/>
                <w:lang w:val="en-AU"/>
              </w:rPr>
            </w:pPr>
            <w:r w:rsidRPr="14BE2A8B">
              <w:rPr>
                <w:rFonts w:ascii="Calibri" w:hAnsi="Calibri" w:cs="Arial"/>
                <w:lang w:val="en-AU"/>
              </w:rPr>
              <w:t>Should court awarded civil pecuniary penalties and injunctions be introduced for contraventions of the Utilities Act?</w:t>
            </w:r>
          </w:p>
          <w:p w14:paraId="6C380737" w14:textId="77777777" w:rsidR="005D6F2C" w:rsidRDefault="005D6F2C" w:rsidP="00A847AE">
            <w:pPr>
              <w:pStyle w:val="Header"/>
              <w:keepNext/>
              <w:keepLines/>
              <w:widowControl/>
              <w:numPr>
                <w:ilvl w:val="1"/>
                <w:numId w:val="29"/>
              </w:numPr>
              <w:tabs>
                <w:tab w:val="clear" w:pos="4320"/>
                <w:tab w:val="clear" w:pos="8640"/>
              </w:tabs>
              <w:contextualSpacing/>
              <w:rPr>
                <w:rFonts w:ascii="Calibri" w:hAnsi="Calibri" w:cs="Arial"/>
                <w:lang w:val="en-AU"/>
              </w:rPr>
            </w:pPr>
            <w:r w:rsidRPr="14BE2A8B">
              <w:rPr>
                <w:rFonts w:ascii="Calibri" w:hAnsi="Calibri" w:cs="Arial"/>
                <w:lang w:val="en-AU"/>
              </w:rPr>
              <w:t>If yes, should the level of civil pecuniary penalties that can be awarded by a Court in the ACT be equivalent to penalties that can be issued by the AER?</w:t>
            </w:r>
          </w:p>
          <w:p w14:paraId="32F4A7E7" w14:textId="2AE065C3" w:rsidR="009129F6" w:rsidRDefault="005D6F2C" w:rsidP="009129F6">
            <w:pPr>
              <w:pStyle w:val="Header"/>
              <w:keepNext/>
              <w:keepLines/>
              <w:widowControl/>
              <w:numPr>
                <w:ilvl w:val="1"/>
                <w:numId w:val="29"/>
              </w:numPr>
              <w:tabs>
                <w:tab w:val="clear" w:pos="4320"/>
                <w:tab w:val="clear" w:pos="8640"/>
              </w:tabs>
              <w:contextualSpacing/>
              <w:rPr>
                <w:rFonts w:ascii="Calibri" w:hAnsi="Calibri" w:cs="Arial"/>
                <w:lang w:val="en-AU"/>
              </w:rPr>
            </w:pPr>
            <w:r w:rsidRPr="14BE2A8B">
              <w:rPr>
                <w:rFonts w:ascii="Calibri" w:hAnsi="Calibri" w:cs="Arial"/>
                <w:lang w:val="en-AU"/>
              </w:rPr>
              <w:t xml:space="preserve">If equivalent penalties become available in the ACT, should the level of criminal fines also be lifted accordingly? </w:t>
            </w:r>
          </w:p>
          <w:p w14:paraId="7DACBBCF" w14:textId="77777777" w:rsidR="006551D7" w:rsidRPr="00731915" w:rsidRDefault="006551D7" w:rsidP="006551D7">
            <w:pPr>
              <w:pStyle w:val="Header"/>
              <w:keepNext/>
              <w:keepLines/>
              <w:widowControl/>
              <w:tabs>
                <w:tab w:val="clear" w:pos="4320"/>
                <w:tab w:val="clear" w:pos="8640"/>
              </w:tabs>
              <w:ind w:left="1440"/>
              <w:contextualSpacing/>
              <w:rPr>
                <w:rFonts w:ascii="Calibri" w:hAnsi="Calibri" w:cs="Arial"/>
                <w:lang w:val="en-AU"/>
              </w:rPr>
            </w:pPr>
          </w:p>
          <w:p w14:paraId="54AEF0B4" w14:textId="33E97DF3" w:rsidR="009129F6" w:rsidRPr="008011E8" w:rsidRDefault="00B12A7F" w:rsidP="00A847AE">
            <w:pPr>
              <w:pStyle w:val="Header"/>
              <w:keepNext/>
              <w:keepLines/>
              <w:widowControl/>
              <w:tabs>
                <w:tab w:val="clear" w:pos="4320"/>
                <w:tab w:val="clear" w:pos="8640"/>
              </w:tabs>
              <w:contextualSpacing/>
              <w:rPr>
                <w:rFonts w:ascii="Calibri" w:hAnsi="Calibri" w:cs="Arial"/>
                <w:b/>
                <w:bCs/>
                <w:lang w:val="en-AU"/>
              </w:rPr>
            </w:pPr>
            <w:r>
              <w:rPr>
                <w:rFonts w:ascii="Calibri" w:hAnsi="Calibri" w:cs="Arial"/>
                <w:b/>
                <w:bCs/>
                <w:lang w:val="en-AU"/>
              </w:rPr>
              <w:t xml:space="preserve">Consultation questions </w:t>
            </w:r>
            <w:r w:rsidR="008011E8">
              <w:rPr>
                <w:rFonts w:ascii="Calibri" w:hAnsi="Calibri" w:cs="Arial"/>
                <w:b/>
                <w:bCs/>
                <w:lang w:val="en-AU"/>
              </w:rPr>
              <w:t>6</w:t>
            </w:r>
            <w:r w:rsidR="006E76FA">
              <w:rPr>
                <w:rFonts w:ascii="Calibri" w:hAnsi="Calibri" w:cs="Arial"/>
                <w:b/>
                <w:bCs/>
                <w:lang w:val="en-AU"/>
              </w:rPr>
              <w:t xml:space="preserve"> to </w:t>
            </w:r>
            <w:r w:rsidR="008011E8">
              <w:rPr>
                <w:rFonts w:ascii="Calibri" w:hAnsi="Calibri" w:cs="Arial"/>
                <w:b/>
                <w:bCs/>
                <w:lang w:val="en-AU"/>
              </w:rPr>
              <w:t xml:space="preserve">8: </w:t>
            </w:r>
            <w:r w:rsidR="009129F6" w:rsidRPr="001E7784">
              <w:rPr>
                <w:rFonts w:ascii="Calibri" w:hAnsi="Calibri" w:cs="Arial"/>
                <w:b/>
                <w:bCs/>
                <w:lang w:val="en-AU"/>
              </w:rPr>
              <w:t xml:space="preserve">Other </w:t>
            </w:r>
            <w:r w:rsidR="009D3824">
              <w:rPr>
                <w:rFonts w:ascii="Calibri" w:hAnsi="Calibri" w:cs="Arial"/>
                <w:b/>
                <w:bCs/>
                <w:lang w:val="en-AU"/>
              </w:rPr>
              <w:t>changes</w:t>
            </w:r>
            <w:r w:rsidR="009129F6" w:rsidRPr="001E7784">
              <w:rPr>
                <w:rFonts w:ascii="Calibri" w:hAnsi="Calibri" w:cs="Arial"/>
                <w:b/>
                <w:bCs/>
                <w:lang w:val="en-AU"/>
              </w:rPr>
              <w:t>?</w:t>
            </w:r>
          </w:p>
          <w:p w14:paraId="08B5F4E6" w14:textId="7CC2BE2B" w:rsidR="00810C39" w:rsidRDefault="00810C39" w:rsidP="000B4C96">
            <w:pPr>
              <w:pStyle w:val="Header"/>
              <w:widowControl/>
              <w:numPr>
                <w:ilvl w:val="0"/>
                <w:numId w:val="29"/>
              </w:numPr>
              <w:tabs>
                <w:tab w:val="clear" w:pos="4320"/>
                <w:tab w:val="clear" w:pos="8640"/>
              </w:tabs>
              <w:contextualSpacing/>
              <w:rPr>
                <w:rFonts w:ascii="Calibri" w:hAnsi="Calibri" w:cs="Arial"/>
                <w:lang w:val="en-AU"/>
              </w:rPr>
            </w:pPr>
            <w:r w:rsidRPr="14BE2A8B">
              <w:rPr>
                <w:rFonts w:ascii="Calibri" w:hAnsi="Calibri" w:cs="Arial"/>
                <w:lang w:val="en-AU"/>
              </w:rPr>
              <w:t xml:space="preserve">Are existing mechanisms to prevent regulated utilities passing on costs of fines to consumers sufficient? </w:t>
            </w:r>
          </w:p>
          <w:p w14:paraId="4780D3C0" w14:textId="77777777" w:rsidR="00810C39" w:rsidRDefault="00810C39" w:rsidP="000B4C96">
            <w:pPr>
              <w:pStyle w:val="Header"/>
              <w:widowControl/>
              <w:numPr>
                <w:ilvl w:val="0"/>
                <w:numId w:val="29"/>
              </w:numPr>
              <w:tabs>
                <w:tab w:val="clear" w:pos="4320"/>
                <w:tab w:val="clear" w:pos="8640"/>
              </w:tabs>
              <w:contextualSpacing/>
              <w:rPr>
                <w:rFonts w:ascii="Calibri" w:hAnsi="Calibri" w:cs="Arial"/>
                <w:lang w:val="en-AU"/>
              </w:rPr>
            </w:pPr>
            <w:r w:rsidRPr="14BE2A8B">
              <w:rPr>
                <w:rFonts w:ascii="Calibri" w:hAnsi="Calibri" w:cs="Arial"/>
                <w:lang w:val="en-AU"/>
              </w:rPr>
              <w:t xml:space="preserve">Are there other changes to the existing regulatory framework of the Utilities Act that you would suggest </w:t>
            </w:r>
            <w:proofErr w:type="gramStart"/>
            <w:r w:rsidRPr="14BE2A8B">
              <w:rPr>
                <w:rFonts w:ascii="Calibri" w:hAnsi="Calibri" w:cs="Arial"/>
                <w:lang w:val="en-AU"/>
              </w:rPr>
              <w:t>to improve</w:t>
            </w:r>
            <w:proofErr w:type="gramEnd"/>
            <w:r w:rsidRPr="14BE2A8B">
              <w:rPr>
                <w:rFonts w:ascii="Calibri" w:hAnsi="Calibri" w:cs="Arial"/>
                <w:lang w:val="en-AU"/>
              </w:rPr>
              <w:t xml:space="preserve"> outcomes for consumers?</w:t>
            </w:r>
          </w:p>
          <w:p w14:paraId="734F549E" w14:textId="287362DA" w:rsidR="006551D7" w:rsidRPr="006551D7" w:rsidRDefault="000B4C96" w:rsidP="006551D7">
            <w:pPr>
              <w:pStyle w:val="Header"/>
              <w:keepLines/>
              <w:widowControl/>
              <w:numPr>
                <w:ilvl w:val="0"/>
                <w:numId w:val="29"/>
              </w:numPr>
              <w:tabs>
                <w:tab w:val="clear" w:pos="4320"/>
                <w:tab w:val="clear" w:pos="8640"/>
              </w:tabs>
              <w:spacing w:after="240"/>
              <w:ind w:left="714" w:hanging="357"/>
              <w:rPr>
                <w:rFonts w:ascii="Calibri" w:hAnsi="Calibri" w:cs="Arial"/>
                <w:lang w:val="en-AU"/>
              </w:rPr>
            </w:pPr>
            <w:r w:rsidRPr="14BE2A8B">
              <w:rPr>
                <w:rFonts w:ascii="Calibri" w:hAnsi="Calibri" w:cs="Arial"/>
                <w:lang w:val="en-AU"/>
              </w:rPr>
              <w:t>Are there any transitional issues that need to be addressed?</w:t>
            </w:r>
          </w:p>
        </w:tc>
      </w:tr>
    </w:tbl>
    <w:p w14:paraId="78929581" w14:textId="77777777" w:rsidR="006551D7" w:rsidRDefault="006551D7" w:rsidP="00E00AD9">
      <w:pPr>
        <w:pStyle w:val="Heading1"/>
        <w:shd w:val="clear" w:color="auto" w:fill="FFFFFF" w:themeFill="background1"/>
        <w:spacing w:before="240"/>
        <w:sectPr w:rsidR="006551D7" w:rsidSect="005A1C2C">
          <w:pgSz w:w="11906" w:h="16838"/>
          <w:pgMar w:top="1440" w:right="1440" w:bottom="1440" w:left="1440" w:header="708" w:footer="405" w:gutter="0"/>
          <w:cols w:space="708"/>
          <w:titlePg/>
          <w:docGrid w:linePitch="360"/>
        </w:sectPr>
      </w:pPr>
      <w:bookmarkStart w:id="42" w:name="_Toc65491635"/>
      <w:bookmarkStart w:id="43" w:name="_Toc146284772"/>
    </w:p>
    <w:p w14:paraId="282F9A4B" w14:textId="7CBC985A" w:rsidR="00B04C17" w:rsidRDefault="00A15B9D" w:rsidP="00E00AD9">
      <w:pPr>
        <w:pStyle w:val="Heading1"/>
        <w:shd w:val="clear" w:color="auto" w:fill="FFFFFF" w:themeFill="background1"/>
        <w:spacing w:before="240"/>
        <w:rPr>
          <w:rFonts w:eastAsia="SimSun"/>
          <w:i/>
          <w:color w:val="000000" w:themeColor="text1"/>
          <w:highlight w:val="yellow"/>
          <w:lang w:eastAsia="zh-CN"/>
        </w:rPr>
      </w:pPr>
      <w:r>
        <w:lastRenderedPageBreak/>
        <w:t>5</w:t>
      </w:r>
      <w:r w:rsidR="002C6C7B">
        <w:t xml:space="preserve">. </w:t>
      </w:r>
      <w:r w:rsidR="006C4681">
        <w:t>Consultation</w:t>
      </w:r>
      <w:r w:rsidR="00CF0E09">
        <w:t xml:space="preserve"> </w:t>
      </w:r>
      <w:r w:rsidR="002C6C7B">
        <w:t>questions</w:t>
      </w:r>
      <w:bookmarkEnd w:id="42"/>
      <w:bookmarkEnd w:id="43"/>
    </w:p>
    <w:tbl>
      <w:tblPr>
        <w:tblpPr w:leftFromText="180" w:rightFromText="180" w:vertAnchor="text" w:horzAnchor="margin" w:tblpY="254"/>
        <w:tblW w:w="9180"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180"/>
      </w:tblGrid>
      <w:tr w:rsidR="0006261E" w:rsidRPr="00A14376" w14:paraId="4BFA9F72" w14:textId="77777777" w:rsidTr="14BE2A8B">
        <w:trPr>
          <w:trHeight w:val="275"/>
        </w:trPr>
        <w:tc>
          <w:tcPr>
            <w:tcW w:w="9180" w:type="dxa"/>
          </w:tcPr>
          <w:p w14:paraId="0C63987C" w14:textId="77777777" w:rsidR="007A558B" w:rsidRDefault="007A558B" w:rsidP="00DA6DFA">
            <w:pPr>
              <w:pStyle w:val="Header"/>
              <w:keepLines/>
              <w:widowControl/>
              <w:tabs>
                <w:tab w:val="clear" w:pos="4320"/>
                <w:tab w:val="clear" w:pos="8640"/>
              </w:tabs>
              <w:contextualSpacing/>
              <w:rPr>
                <w:rFonts w:ascii="Calibri" w:hAnsi="Calibri" w:cs="Arial"/>
                <w:b/>
                <w:szCs w:val="24"/>
                <w:lang w:val="en-AU"/>
              </w:rPr>
            </w:pPr>
          </w:p>
          <w:p w14:paraId="1D547434" w14:textId="07CE3212" w:rsidR="00A217C6" w:rsidRPr="000D3AE2" w:rsidRDefault="00612FDB" w:rsidP="00DA6DFA">
            <w:pPr>
              <w:pStyle w:val="Header"/>
              <w:keepLines/>
              <w:widowControl/>
              <w:tabs>
                <w:tab w:val="clear" w:pos="4320"/>
                <w:tab w:val="clear" w:pos="8640"/>
              </w:tabs>
              <w:contextualSpacing/>
              <w:rPr>
                <w:rFonts w:ascii="Calibri" w:hAnsi="Calibri" w:cs="Arial"/>
                <w:b/>
                <w:szCs w:val="24"/>
                <w:lang w:val="en-AU"/>
              </w:rPr>
            </w:pPr>
            <w:r>
              <w:rPr>
                <w:rFonts w:ascii="Calibri" w:hAnsi="Calibri" w:cs="Arial"/>
                <w:b/>
                <w:szCs w:val="24"/>
                <w:lang w:val="en-AU"/>
              </w:rPr>
              <w:t>T</w:t>
            </w:r>
            <w:r w:rsidR="008A6214">
              <w:rPr>
                <w:rFonts w:ascii="Calibri" w:hAnsi="Calibri" w:cs="Arial"/>
                <w:b/>
                <w:szCs w:val="24"/>
                <w:lang w:val="en-AU"/>
              </w:rPr>
              <w:t>he existing utility licensing regime</w:t>
            </w:r>
          </w:p>
        </w:tc>
      </w:tr>
      <w:tr w:rsidR="0006261E" w:rsidRPr="00A14376" w14:paraId="447C4209" w14:textId="77777777" w:rsidTr="14BE2A8B">
        <w:trPr>
          <w:trHeight w:val="1799"/>
        </w:trPr>
        <w:tc>
          <w:tcPr>
            <w:tcW w:w="9180" w:type="dxa"/>
          </w:tcPr>
          <w:p w14:paraId="73ED00A8" w14:textId="7C38787F" w:rsidR="00763AD9" w:rsidRDefault="00AB2540" w:rsidP="31EF780D">
            <w:pPr>
              <w:pStyle w:val="Header"/>
              <w:widowControl/>
              <w:numPr>
                <w:ilvl w:val="0"/>
                <w:numId w:val="7"/>
              </w:numPr>
              <w:tabs>
                <w:tab w:val="clear" w:pos="4320"/>
                <w:tab w:val="clear" w:pos="8640"/>
              </w:tabs>
              <w:contextualSpacing/>
              <w:rPr>
                <w:rFonts w:ascii="Calibri" w:hAnsi="Calibri" w:cs="Arial"/>
                <w:lang w:val="en-AU"/>
              </w:rPr>
            </w:pPr>
            <w:r>
              <w:rPr>
                <w:rFonts w:ascii="Calibri" w:hAnsi="Calibri" w:cs="Arial"/>
                <w:lang w:val="en-AU"/>
              </w:rPr>
              <w:t>Are</w:t>
            </w:r>
            <w:r w:rsidRPr="2F00E841">
              <w:rPr>
                <w:rFonts w:ascii="Calibri" w:hAnsi="Calibri" w:cs="Arial"/>
                <w:lang w:val="en-AU"/>
              </w:rPr>
              <w:t xml:space="preserve"> </w:t>
            </w:r>
            <w:r w:rsidR="104CD612" w:rsidRPr="2F00E841">
              <w:rPr>
                <w:rFonts w:ascii="Calibri" w:hAnsi="Calibri" w:cs="Arial"/>
                <w:lang w:val="en-AU"/>
              </w:rPr>
              <w:t xml:space="preserve">the </w:t>
            </w:r>
            <w:r w:rsidR="0B46DFF3" w:rsidRPr="2F00E841">
              <w:rPr>
                <w:rFonts w:ascii="Calibri" w:hAnsi="Calibri" w:cs="Arial"/>
                <w:lang w:val="en-AU"/>
              </w:rPr>
              <w:t>ICRC</w:t>
            </w:r>
            <w:r>
              <w:rPr>
                <w:rFonts w:ascii="Calibri" w:hAnsi="Calibri" w:cs="Arial"/>
                <w:lang w:val="en-AU"/>
              </w:rPr>
              <w:t>’s current enforcement powers appropriate?</w:t>
            </w:r>
            <w:r w:rsidR="0B46DFF3" w:rsidRPr="2F00E841">
              <w:rPr>
                <w:rFonts w:ascii="Calibri" w:hAnsi="Calibri" w:cs="Arial"/>
                <w:lang w:val="en-AU"/>
              </w:rPr>
              <w:t xml:space="preserve"> </w:t>
            </w:r>
          </w:p>
          <w:p w14:paraId="75F11CAD" w14:textId="5ECB1447" w:rsidR="000041E4" w:rsidRPr="000041E4" w:rsidRDefault="000041E4" w:rsidP="18632EAE">
            <w:pPr>
              <w:pStyle w:val="Header"/>
              <w:keepLines/>
              <w:widowControl/>
              <w:tabs>
                <w:tab w:val="clear" w:pos="4320"/>
                <w:tab w:val="clear" w:pos="8640"/>
              </w:tabs>
              <w:contextualSpacing/>
              <w:rPr>
                <w:rFonts w:ascii="Calibri" w:hAnsi="Calibri" w:cs="Arial"/>
                <w:lang w:val="en-AU"/>
              </w:rPr>
            </w:pPr>
          </w:p>
          <w:p w14:paraId="16252E8F" w14:textId="63CA65A8" w:rsidR="002B3BD9" w:rsidRPr="008A6214" w:rsidRDefault="00612FDB" w:rsidP="00A217C6">
            <w:pPr>
              <w:pStyle w:val="Header"/>
              <w:keepLines/>
              <w:widowControl/>
              <w:tabs>
                <w:tab w:val="clear" w:pos="4320"/>
                <w:tab w:val="clear" w:pos="8640"/>
              </w:tabs>
              <w:contextualSpacing/>
              <w:rPr>
                <w:rFonts w:ascii="Calibri" w:hAnsi="Calibri" w:cs="Arial"/>
                <w:b/>
                <w:bCs/>
                <w:szCs w:val="24"/>
                <w:lang w:val="en-AU"/>
              </w:rPr>
            </w:pPr>
            <w:r>
              <w:rPr>
                <w:rFonts w:ascii="Calibri" w:hAnsi="Calibri" w:cs="Arial"/>
                <w:b/>
                <w:lang w:val="en-AU"/>
              </w:rPr>
              <w:t>P</w:t>
            </w:r>
            <w:r w:rsidR="008A6214" w:rsidRPr="2C2E1569">
              <w:rPr>
                <w:rFonts w:ascii="Calibri" w:hAnsi="Calibri" w:cs="Arial"/>
                <w:b/>
                <w:lang w:val="en-AU"/>
              </w:rPr>
              <w:t>roposed changes</w:t>
            </w:r>
          </w:p>
          <w:p w14:paraId="517F0424" w14:textId="23CB7834" w:rsidR="006F386D" w:rsidRPr="006A5DC9" w:rsidRDefault="00246CE8" w:rsidP="00A847AE">
            <w:pPr>
              <w:pStyle w:val="Header"/>
              <w:keepNext/>
              <w:keepLines/>
              <w:widowControl/>
              <w:numPr>
                <w:ilvl w:val="0"/>
                <w:numId w:val="7"/>
              </w:numPr>
              <w:tabs>
                <w:tab w:val="clear" w:pos="4320"/>
                <w:tab w:val="clear" w:pos="8640"/>
              </w:tabs>
              <w:contextualSpacing/>
              <w:rPr>
                <w:rFonts w:ascii="Calibri" w:hAnsi="Calibri" w:cs="Arial"/>
                <w:u w:val="single"/>
                <w:lang w:val="en-AU"/>
              </w:rPr>
            </w:pPr>
            <w:r>
              <w:rPr>
                <w:rFonts w:ascii="Calibri" w:hAnsi="Calibri" w:cs="Arial"/>
                <w:lang w:val="en-AU"/>
              </w:rPr>
              <w:t>How could the ICRC’s</w:t>
            </w:r>
            <w:r w:rsidR="7E048B26" w:rsidRPr="2F00E841">
              <w:rPr>
                <w:rFonts w:ascii="Calibri" w:hAnsi="Calibri" w:cs="Arial"/>
                <w:lang w:val="en-AU"/>
              </w:rPr>
              <w:t xml:space="preserve"> enforcement powers </w:t>
            </w:r>
            <w:r>
              <w:rPr>
                <w:rFonts w:ascii="Calibri" w:hAnsi="Calibri" w:cs="Arial"/>
                <w:lang w:val="en-AU"/>
              </w:rPr>
              <w:t xml:space="preserve">be improved to deliver better </w:t>
            </w:r>
            <w:r w:rsidR="6F39D0A0" w:rsidRPr="2F00E841">
              <w:rPr>
                <w:rFonts w:ascii="Calibri" w:hAnsi="Calibri" w:cs="Arial"/>
                <w:lang w:val="en-AU"/>
              </w:rPr>
              <w:t>outcomes</w:t>
            </w:r>
            <w:r w:rsidR="4C923DD1" w:rsidRPr="2F00E841">
              <w:rPr>
                <w:rFonts w:ascii="Calibri" w:hAnsi="Calibri" w:cs="Arial"/>
                <w:lang w:val="en-AU"/>
              </w:rPr>
              <w:t xml:space="preserve"> for consumers</w:t>
            </w:r>
            <w:r w:rsidR="6F39D0A0" w:rsidRPr="2F00E841">
              <w:rPr>
                <w:rFonts w:ascii="Calibri" w:hAnsi="Calibri" w:cs="Arial"/>
                <w:lang w:val="en-AU"/>
              </w:rPr>
              <w:t xml:space="preserve">? </w:t>
            </w:r>
          </w:p>
          <w:p w14:paraId="71A1C421" w14:textId="5A312089" w:rsidR="006F386D" w:rsidRDefault="006F386D" w:rsidP="2F00E841">
            <w:pPr>
              <w:pStyle w:val="Header"/>
              <w:keepNext/>
              <w:keepLines/>
              <w:widowControl/>
              <w:tabs>
                <w:tab w:val="clear" w:pos="4320"/>
                <w:tab w:val="clear" w:pos="8640"/>
              </w:tabs>
              <w:contextualSpacing/>
              <w:rPr>
                <w:rFonts w:ascii="Calibri" w:hAnsi="Calibri" w:cs="Arial"/>
                <w:lang w:val="en-AU"/>
              </w:rPr>
            </w:pPr>
          </w:p>
          <w:p w14:paraId="1B3735DB" w14:textId="0B6660F1" w:rsidR="00563CC3" w:rsidRPr="00A41F1C" w:rsidRDefault="00563CC3" w:rsidP="00E659D6">
            <w:pPr>
              <w:pStyle w:val="Header"/>
              <w:keepNext/>
              <w:keepLines/>
              <w:widowControl/>
              <w:tabs>
                <w:tab w:val="clear" w:pos="4320"/>
                <w:tab w:val="clear" w:pos="8640"/>
              </w:tabs>
              <w:contextualSpacing/>
              <w:rPr>
                <w:rFonts w:ascii="Calibri" w:hAnsi="Calibri" w:cs="Arial"/>
                <w:b/>
                <w:bCs/>
                <w:szCs w:val="24"/>
                <w:lang w:val="en-AU"/>
              </w:rPr>
            </w:pPr>
            <w:r w:rsidRPr="00A41F1C">
              <w:rPr>
                <w:rFonts w:ascii="Calibri" w:hAnsi="Calibri" w:cs="Arial"/>
                <w:b/>
                <w:bCs/>
                <w:szCs w:val="24"/>
                <w:lang w:val="en-AU"/>
              </w:rPr>
              <w:t>Court enforceable undertakings</w:t>
            </w:r>
          </w:p>
          <w:p w14:paraId="3019D52C" w14:textId="404803D2" w:rsidR="00E02F73" w:rsidRDefault="3202B682" w:rsidP="008B40F7">
            <w:pPr>
              <w:pStyle w:val="Header"/>
              <w:keepNext/>
              <w:keepLines/>
              <w:widowControl/>
              <w:numPr>
                <w:ilvl w:val="0"/>
                <w:numId w:val="7"/>
              </w:numPr>
              <w:tabs>
                <w:tab w:val="clear" w:pos="4320"/>
                <w:tab w:val="clear" w:pos="8640"/>
              </w:tabs>
              <w:contextualSpacing/>
              <w:rPr>
                <w:rFonts w:ascii="Calibri" w:hAnsi="Calibri" w:cs="Arial"/>
                <w:lang w:val="en-AU"/>
              </w:rPr>
            </w:pPr>
            <w:r w:rsidRPr="2F00E841">
              <w:rPr>
                <w:rFonts w:ascii="Calibri" w:hAnsi="Calibri" w:cs="Arial"/>
                <w:lang w:val="en-AU"/>
              </w:rPr>
              <w:t xml:space="preserve">Should </w:t>
            </w:r>
            <w:r w:rsidR="7FA23BB7" w:rsidRPr="2F00E841">
              <w:rPr>
                <w:rFonts w:ascii="Calibri" w:hAnsi="Calibri" w:cs="Arial"/>
                <w:lang w:val="en-AU"/>
              </w:rPr>
              <w:t xml:space="preserve">the ICRC </w:t>
            </w:r>
            <w:r w:rsidRPr="2F00E841">
              <w:rPr>
                <w:rFonts w:ascii="Calibri" w:hAnsi="Calibri" w:cs="Arial"/>
                <w:lang w:val="en-AU"/>
              </w:rPr>
              <w:t>be able</w:t>
            </w:r>
            <w:r w:rsidR="7FA23BB7" w:rsidRPr="2F00E841">
              <w:rPr>
                <w:rFonts w:ascii="Calibri" w:hAnsi="Calibri" w:cs="Arial"/>
                <w:lang w:val="en-AU"/>
              </w:rPr>
              <w:t xml:space="preserve"> to </w:t>
            </w:r>
            <w:r w:rsidR="1C99C098" w:rsidRPr="2F00E841">
              <w:rPr>
                <w:rFonts w:ascii="Calibri" w:hAnsi="Calibri" w:cs="Arial"/>
                <w:lang w:val="en-AU"/>
              </w:rPr>
              <w:t xml:space="preserve">seek </w:t>
            </w:r>
            <w:r w:rsidR="7FA23BB7" w:rsidRPr="2F00E841">
              <w:rPr>
                <w:rFonts w:ascii="Calibri" w:hAnsi="Calibri" w:cs="Arial"/>
                <w:lang w:val="en-AU"/>
              </w:rPr>
              <w:t>court enforceable undertaking</w:t>
            </w:r>
            <w:r w:rsidR="1C99C098" w:rsidRPr="2F00E841">
              <w:rPr>
                <w:rFonts w:ascii="Calibri" w:hAnsi="Calibri" w:cs="Arial"/>
                <w:lang w:val="en-AU"/>
              </w:rPr>
              <w:t>s</w:t>
            </w:r>
            <w:r w:rsidR="7FA23BB7" w:rsidRPr="2F00E841">
              <w:rPr>
                <w:rFonts w:ascii="Calibri" w:hAnsi="Calibri" w:cs="Arial"/>
                <w:lang w:val="en-AU"/>
              </w:rPr>
              <w:t xml:space="preserve"> </w:t>
            </w:r>
            <w:r w:rsidR="1C99C098" w:rsidRPr="2F00E841">
              <w:rPr>
                <w:rFonts w:ascii="Calibri" w:hAnsi="Calibri" w:cs="Arial"/>
                <w:lang w:val="en-AU"/>
              </w:rPr>
              <w:t xml:space="preserve">from </w:t>
            </w:r>
            <w:r w:rsidR="7FA23BB7" w:rsidRPr="2F00E841">
              <w:rPr>
                <w:rFonts w:ascii="Calibri" w:hAnsi="Calibri" w:cs="Arial"/>
                <w:lang w:val="en-AU"/>
              </w:rPr>
              <w:t>a utility or energy retailer</w:t>
            </w:r>
            <w:r w:rsidR="19216B7F" w:rsidRPr="2F00E841">
              <w:rPr>
                <w:rFonts w:ascii="Calibri" w:hAnsi="Calibri" w:cs="Arial"/>
                <w:lang w:val="en-AU"/>
              </w:rPr>
              <w:t>?</w:t>
            </w:r>
            <w:r w:rsidR="7FA23BB7" w:rsidRPr="2F00E841">
              <w:rPr>
                <w:rFonts w:ascii="Calibri" w:hAnsi="Calibri" w:cs="Arial"/>
                <w:lang w:val="en-AU"/>
              </w:rPr>
              <w:t xml:space="preserve"> </w:t>
            </w:r>
          </w:p>
          <w:p w14:paraId="64CE92D4" w14:textId="472ADF2A" w:rsidR="003A77FE" w:rsidRDefault="003A77FE" w:rsidP="00F75905">
            <w:pPr>
              <w:pStyle w:val="Header"/>
              <w:keepNext/>
              <w:keepLines/>
              <w:widowControl/>
              <w:numPr>
                <w:ilvl w:val="1"/>
                <w:numId w:val="7"/>
              </w:numPr>
              <w:tabs>
                <w:tab w:val="clear" w:pos="4320"/>
                <w:tab w:val="clear" w:pos="8640"/>
              </w:tabs>
              <w:contextualSpacing/>
              <w:rPr>
                <w:rFonts w:ascii="Calibri" w:hAnsi="Calibri" w:cs="Arial"/>
                <w:lang w:val="en-AU"/>
              </w:rPr>
            </w:pPr>
            <w:r w:rsidRPr="14BE2A8B">
              <w:rPr>
                <w:rFonts w:ascii="Calibri" w:hAnsi="Calibri" w:cs="Arial"/>
                <w:lang w:val="en-AU"/>
              </w:rPr>
              <w:t>If yes, what matters need to be considered in developing this power?</w:t>
            </w:r>
          </w:p>
          <w:p w14:paraId="227EFDA4" w14:textId="77777777" w:rsidR="006F386D" w:rsidRDefault="006F386D" w:rsidP="2F00E841">
            <w:pPr>
              <w:pStyle w:val="Header"/>
              <w:keepNext/>
              <w:keepLines/>
              <w:widowControl/>
              <w:tabs>
                <w:tab w:val="clear" w:pos="4320"/>
                <w:tab w:val="clear" w:pos="8640"/>
              </w:tabs>
              <w:contextualSpacing/>
              <w:rPr>
                <w:rFonts w:ascii="Calibri" w:hAnsi="Calibri" w:cs="Arial"/>
                <w:u w:val="single"/>
                <w:lang w:val="en-AU"/>
              </w:rPr>
            </w:pPr>
          </w:p>
          <w:p w14:paraId="7C52E047" w14:textId="77777777" w:rsidR="00737BCE" w:rsidRPr="00A41F1C" w:rsidRDefault="00737BCE" w:rsidP="00737BCE">
            <w:pPr>
              <w:pStyle w:val="Header"/>
              <w:keepNext/>
              <w:keepLines/>
              <w:widowControl/>
              <w:tabs>
                <w:tab w:val="clear" w:pos="4320"/>
                <w:tab w:val="clear" w:pos="8640"/>
              </w:tabs>
              <w:contextualSpacing/>
              <w:rPr>
                <w:rFonts w:ascii="Calibri" w:hAnsi="Calibri" w:cs="Arial"/>
                <w:b/>
                <w:bCs/>
                <w:szCs w:val="24"/>
                <w:lang w:val="en-AU"/>
              </w:rPr>
            </w:pPr>
            <w:r w:rsidRPr="00A41F1C">
              <w:rPr>
                <w:rFonts w:ascii="Calibri" w:hAnsi="Calibri" w:cs="Arial"/>
                <w:b/>
                <w:bCs/>
                <w:szCs w:val="24"/>
                <w:lang w:val="en-AU"/>
              </w:rPr>
              <w:t>Infringement notices</w:t>
            </w:r>
          </w:p>
          <w:p w14:paraId="1272F098" w14:textId="77777777" w:rsidR="00737BCE" w:rsidRDefault="00737BCE" w:rsidP="00737BCE">
            <w:pPr>
              <w:pStyle w:val="Header"/>
              <w:keepNext/>
              <w:keepLines/>
              <w:widowControl/>
              <w:numPr>
                <w:ilvl w:val="0"/>
                <w:numId w:val="7"/>
              </w:numPr>
              <w:tabs>
                <w:tab w:val="clear" w:pos="4320"/>
                <w:tab w:val="clear" w:pos="8640"/>
              </w:tabs>
              <w:contextualSpacing/>
              <w:rPr>
                <w:rFonts w:ascii="Calibri" w:hAnsi="Calibri" w:cs="Arial"/>
                <w:lang w:val="en-AU"/>
              </w:rPr>
            </w:pPr>
            <w:r w:rsidRPr="2F00E841">
              <w:rPr>
                <w:rFonts w:ascii="Calibri" w:hAnsi="Calibri" w:cs="Arial"/>
                <w:lang w:val="en-AU"/>
              </w:rPr>
              <w:t xml:space="preserve">Should the ICRC be able to issue infringement notices to a utility or energy retailer? </w:t>
            </w:r>
          </w:p>
          <w:p w14:paraId="5E84A0CD" w14:textId="77777777" w:rsidR="00737BCE" w:rsidRDefault="00737BCE" w:rsidP="00737BCE">
            <w:pPr>
              <w:pStyle w:val="Header"/>
              <w:keepNext/>
              <w:keepLines/>
              <w:widowControl/>
              <w:numPr>
                <w:ilvl w:val="1"/>
                <w:numId w:val="7"/>
              </w:numPr>
              <w:tabs>
                <w:tab w:val="clear" w:pos="4320"/>
                <w:tab w:val="clear" w:pos="8640"/>
              </w:tabs>
              <w:contextualSpacing/>
              <w:rPr>
                <w:rFonts w:ascii="Calibri" w:hAnsi="Calibri" w:cs="Arial"/>
                <w:lang w:val="en-AU"/>
              </w:rPr>
            </w:pPr>
            <w:r w:rsidRPr="14BE2A8B">
              <w:rPr>
                <w:rFonts w:ascii="Calibri" w:hAnsi="Calibri" w:cs="Arial"/>
                <w:lang w:val="en-AU"/>
              </w:rPr>
              <w:t>If yes, should the level of infringement notice penalties be the same as those available to the AER for comparable conduct?</w:t>
            </w:r>
          </w:p>
          <w:p w14:paraId="7805F349" w14:textId="1B057C7C" w:rsidR="00737BCE" w:rsidRPr="00A41F1C" w:rsidRDefault="00737BCE" w:rsidP="2F00E841">
            <w:pPr>
              <w:pStyle w:val="Header"/>
              <w:keepNext/>
              <w:keepLines/>
              <w:widowControl/>
              <w:numPr>
                <w:ilvl w:val="1"/>
                <w:numId w:val="7"/>
              </w:numPr>
              <w:tabs>
                <w:tab w:val="clear" w:pos="4320"/>
                <w:tab w:val="clear" w:pos="8640"/>
              </w:tabs>
              <w:contextualSpacing/>
              <w:rPr>
                <w:rFonts w:ascii="Calibri" w:hAnsi="Calibri" w:cs="Arial"/>
                <w:lang w:val="en-AU"/>
              </w:rPr>
            </w:pPr>
            <w:r w:rsidRPr="14BE2A8B">
              <w:rPr>
                <w:rFonts w:ascii="Calibri" w:hAnsi="Calibri" w:cs="Arial"/>
                <w:lang w:val="en-AU"/>
              </w:rPr>
              <w:t xml:space="preserve">What matters need to be considered in developing an infringement notice power? </w:t>
            </w:r>
          </w:p>
          <w:p w14:paraId="7DBCD295" w14:textId="77777777" w:rsidR="00737BCE" w:rsidRDefault="00737BCE" w:rsidP="2F00E841">
            <w:pPr>
              <w:pStyle w:val="Header"/>
              <w:keepNext/>
              <w:keepLines/>
              <w:widowControl/>
              <w:tabs>
                <w:tab w:val="clear" w:pos="4320"/>
                <w:tab w:val="clear" w:pos="8640"/>
              </w:tabs>
              <w:contextualSpacing/>
              <w:rPr>
                <w:rFonts w:ascii="Calibri" w:hAnsi="Calibri" w:cs="Arial"/>
                <w:u w:val="single"/>
                <w:lang w:val="en-AU"/>
              </w:rPr>
            </w:pPr>
          </w:p>
          <w:p w14:paraId="6A13BED1" w14:textId="6D48F229" w:rsidR="00563CC3" w:rsidRPr="00A41F1C" w:rsidRDefault="00563CC3" w:rsidP="00E659D6">
            <w:pPr>
              <w:pStyle w:val="Header"/>
              <w:keepNext/>
              <w:keepLines/>
              <w:widowControl/>
              <w:tabs>
                <w:tab w:val="clear" w:pos="4320"/>
                <w:tab w:val="clear" w:pos="8640"/>
              </w:tabs>
              <w:contextualSpacing/>
              <w:rPr>
                <w:rFonts w:ascii="Calibri" w:hAnsi="Calibri" w:cs="Arial"/>
                <w:b/>
                <w:bCs/>
                <w:szCs w:val="24"/>
                <w:lang w:val="en-AU"/>
              </w:rPr>
            </w:pPr>
            <w:r w:rsidRPr="00A41F1C">
              <w:rPr>
                <w:rFonts w:ascii="Calibri" w:hAnsi="Calibri" w:cs="Arial"/>
                <w:b/>
                <w:bCs/>
                <w:szCs w:val="24"/>
                <w:lang w:val="en-AU"/>
              </w:rPr>
              <w:t xml:space="preserve">Court awarded penalties and </w:t>
            </w:r>
            <w:proofErr w:type="gramStart"/>
            <w:r w:rsidRPr="00A41F1C">
              <w:rPr>
                <w:rFonts w:ascii="Calibri" w:hAnsi="Calibri" w:cs="Arial"/>
                <w:b/>
                <w:bCs/>
                <w:szCs w:val="24"/>
                <w:lang w:val="en-AU"/>
              </w:rPr>
              <w:t>injunctions</w:t>
            </w:r>
            <w:proofErr w:type="gramEnd"/>
          </w:p>
          <w:p w14:paraId="128C3CDB" w14:textId="2C063BC1" w:rsidR="00DF57A8" w:rsidRDefault="1DB58FA4" w:rsidP="008B40F7">
            <w:pPr>
              <w:pStyle w:val="Header"/>
              <w:keepNext/>
              <w:keepLines/>
              <w:widowControl/>
              <w:numPr>
                <w:ilvl w:val="0"/>
                <w:numId w:val="7"/>
              </w:numPr>
              <w:tabs>
                <w:tab w:val="clear" w:pos="4320"/>
                <w:tab w:val="clear" w:pos="8640"/>
              </w:tabs>
              <w:contextualSpacing/>
              <w:rPr>
                <w:rFonts w:ascii="Calibri" w:hAnsi="Calibri" w:cs="Arial"/>
                <w:lang w:val="en-AU"/>
              </w:rPr>
            </w:pPr>
            <w:r w:rsidRPr="14BE2A8B">
              <w:rPr>
                <w:rFonts w:ascii="Calibri" w:hAnsi="Calibri" w:cs="Arial"/>
                <w:lang w:val="en-AU"/>
              </w:rPr>
              <w:t>Should</w:t>
            </w:r>
            <w:r w:rsidR="4000DF29" w:rsidRPr="14BE2A8B">
              <w:rPr>
                <w:rFonts w:ascii="Calibri" w:hAnsi="Calibri" w:cs="Arial"/>
                <w:lang w:val="en-AU"/>
              </w:rPr>
              <w:t xml:space="preserve"> </w:t>
            </w:r>
            <w:r w:rsidR="5DA7FD0D" w:rsidRPr="14BE2A8B">
              <w:rPr>
                <w:rFonts w:ascii="Calibri" w:hAnsi="Calibri" w:cs="Arial"/>
                <w:lang w:val="en-AU"/>
              </w:rPr>
              <w:t xml:space="preserve">court awarded civil </w:t>
            </w:r>
            <w:r w:rsidR="2CCF0E38" w:rsidRPr="14BE2A8B">
              <w:rPr>
                <w:rFonts w:ascii="Calibri" w:hAnsi="Calibri" w:cs="Arial"/>
                <w:lang w:val="en-AU"/>
              </w:rPr>
              <w:t>pecuniary</w:t>
            </w:r>
            <w:r w:rsidR="5DA7FD0D" w:rsidRPr="14BE2A8B">
              <w:rPr>
                <w:rFonts w:ascii="Calibri" w:hAnsi="Calibri" w:cs="Arial"/>
                <w:lang w:val="en-AU"/>
              </w:rPr>
              <w:t xml:space="preserve"> </w:t>
            </w:r>
            <w:r w:rsidR="4000DF29" w:rsidRPr="14BE2A8B">
              <w:rPr>
                <w:rFonts w:ascii="Calibri" w:hAnsi="Calibri" w:cs="Arial"/>
                <w:lang w:val="en-AU"/>
              </w:rPr>
              <w:t xml:space="preserve">penalties and </w:t>
            </w:r>
            <w:r w:rsidR="5DA7FD0D" w:rsidRPr="14BE2A8B">
              <w:rPr>
                <w:rFonts w:ascii="Calibri" w:hAnsi="Calibri" w:cs="Arial"/>
                <w:lang w:val="en-AU"/>
              </w:rPr>
              <w:t>injunctions</w:t>
            </w:r>
            <w:r w:rsidR="7F87D95B" w:rsidRPr="14BE2A8B">
              <w:rPr>
                <w:rFonts w:ascii="Calibri" w:hAnsi="Calibri" w:cs="Arial"/>
                <w:lang w:val="en-AU"/>
              </w:rPr>
              <w:t xml:space="preserve"> </w:t>
            </w:r>
            <w:r w:rsidRPr="14BE2A8B">
              <w:rPr>
                <w:rFonts w:ascii="Calibri" w:hAnsi="Calibri" w:cs="Arial"/>
                <w:lang w:val="en-AU"/>
              </w:rPr>
              <w:t xml:space="preserve">be introduced </w:t>
            </w:r>
            <w:r w:rsidR="7F87D95B" w:rsidRPr="14BE2A8B">
              <w:rPr>
                <w:rFonts w:ascii="Calibri" w:hAnsi="Calibri" w:cs="Arial"/>
                <w:lang w:val="en-AU"/>
              </w:rPr>
              <w:t>for contraventions of the Utilities Act</w:t>
            </w:r>
            <w:r w:rsidR="5B998058" w:rsidRPr="14BE2A8B">
              <w:rPr>
                <w:rFonts w:ascii="Calibri" w:hAnsi="Calibri" w:cs="Arial"/>
                <w:lang w:val="en-AU"/>
              </w:rPr>
              <w:t>?</w:t>
            </w:r>
          </w:p>
          <w:p w14:paraId="29076ABD" w14:textId="01E06013" w:rsidR="00557F42" w:rsidRDefault="003A77FE" w:rsidP="00F75905">
            <w:pPr>
              <w:pStyle w:val="Header"/>
              <w:keepNext/>
              <w:keepLines/>
              <w:widowControl/>
              <w:numPr>
                <w:ilvl w:val="1"/>
                <w:numId w:val="7"/>
              </w:numPr>
              <w:tabs>
                <w:tab w:val="clear" w:pos="4320"/>
                <w:tab w:val="clear" w:pos="8640"/>
              </w:tabs>
              <w:contextualSpacing/>
              <w:rPr>
                <w:rFonts w:ascii="Calibri" w:hAnsi="Calibri" w:cs="Arial"/>
                <w:lang w:val="en-AU"/>
              </w:rPr>
            </w:pPr>
            <w:r w:rsidRPr="14BE2A8B">
              <w:rPr>
                <w:rFonts w:ascii="Calibri" w:hAnsi="Calibri" w:cs="Arial"/>
                <w:lang w:val="en-AU"/>
              </w:rPr>
              <w:t xml:space="preserve">If yes, </w:t>
            </w:r>
            <w:r w:rsidR="00246CE8" w:rsidRPr="14BE2A8B">
              <w:rPr>
                <w:rFonts w:ascii="Calibri" w:hAnsi="Calibri" w:cs="Arial"/>
                <w:lang w:val="en-AU"/>
              </w:rPr>
              <w:t>s</w:t>
            </w:r>
            <w:r w:rsidR="19216B7F" w:rsidRPr="14BE2A8B">
              <w:rPr>
                <w:rFonts w:ascii="Calibri" w:hAnsi="Calibri" w:cs="Arial"/>
                <w:lang w:val="en-AU"/>
              </w:rPr>
              <w:t xml:space="preserve">hould </w:t>
            </w:r>
            <w:r w:rsidR="15E83BFB" w:rsidRPr="14BE2A8B">
              <w:rPr>
                <w:rFonts w:ascii="Calibri" w:hAnsi="Calibri" w:cs="Arial"/>
                <w:lang w:val="en-AU"/>
              </w:rPr>
              <w:t xml:space="preserve">the level of civil pecuniary penalties that can be awarded by a Court in the ACT </w:t>
            </w:r>
            <w:r w:rsidR="640FFD04" w:rsidRPr="14BE2A8B">
              <w:rPr>
                <w:rFonts w:ascii="Calibri" w:hAnsi="Calibri" w:cs="Arial"/>
                <w:lang w:val="en-AU"/>
              </w:rPr>
              <w:t xml:space="preserve">be </w:t>
            </w:r>
            <w:r w:rsidR="78640C98" w:rsidRPr="14BE2A8B">
              <w:rPr>
                <w:rFonts w:ascii="Calibri" w:hAnsi="Calibri" w:cs="Arial"/>
                <w:lang w:val="en-AU"/>
              </w:rPr>
              <w:t>equivalent</w:t>
            </w:r>
            <w:r w:rsidR="640FFD04" w:rsidRPr="14BE2A8B">
              <w:rPr>
                <w:rFonts w:ascii="Calibri" w:hAnsi="Calibri" w:cs="Arial"/>
                <w:lang w:val="en-AU"/>
              </w:rPr>
              <w:t xml:space="preserve"> </w:t>
            </w:r>
            <w:r w:rsidR="15E83BFB" w:rsidRPr="14BE2A8B">
              <w:rPr>
                <w:rFonts w:ascii="Calibri" w:hAnsi="Calibri" w:cs="Arial"/>
                <w:lang w:val="en-AU"/>
              </w:rPr>
              <w:t xml:space="preserve">to </w:t>
            </w:r>
            <w:r w:rsidR="1DB58FA4" w:rsidRPr="14BE2A8B">
              <w:rPr>
                <w:rFonts w:ascii="Calibri" w:hAnsi="Calibri" w:cs="Arial"/>
                <w:lang w:val="en-AU"/>
              </w:rPr>
              <w:t xml:space="preserve">penalties </w:t>
            </w:r>
            <w:r w:rsidR="15E83BFB" w:rsidRPr="14BE2A8B">
              <w:rPr>
                <w:rFonts w:ascii="Calibri" w:hAnsi="Calibri" w:cs="Arial"/>
                <w:lang w:val="en-AU"/>
              </w:rPr>
              <w:t xml:space="preserve">that can be </w:t>
            </w:r>
            <w:r w:rsidR="5A495141" w:rsidRPr="14BE2A8B">
              <w:rPr>
                <w:rFonts w:ascii="Calibri" w:hAnsi="Calibri" w:cs="Arial"/>
                <w:lang w:val="en-AU"/>
              </w:rPr>
              <w:t xml:space="preserve">issued </w:t>
            </w:r>
            <w:r w:rsidR="15E83BFB" w:rsidRPr="14BE2A8B">
              <w:rPr>
                <w:rFonts w:ascii="Calibri" w:hAnsi="Calibri" w:cs="Arial"/>
                <w:lang w:val="en-AU"/>
              </w:rPr>
              <w:t>by the AER?</w:t>
            </w:r>
          </w:p>
          <w:p w14:paraId="1C968B96" w14:textId="43B9D49D" w:rsidR="00A90725" w:rsidRPr="00557F42" w:rsidRDefault="15E83BFB" w:rsidP="00F75905">
            <w:pPr>
              <w:pStyle w:val="Header"/>
              <w:keepNext/>
              <w:keepLines/>
              <w:widowControl/>
              <w:numPr>
                <w:ilvl w:val="1"/>
                <w:numId w:val="7"/>
              </w:numPr>
              <w:tabs>
                <w:tab w:val="clear" w:pos="4320"/>
                <w:tab w:val="clear" w:pos="8640"/>
              </w:tabs>
              <w:contextualSpacing/>
              <w:rPr>
                <w:rFonts w:ascii="Calibri" w:hAnsi="Calibri" w:cs="Arial"/>
                <w:lang w:val="en-AU"/>
              </w:rPr>
            </w:pPr>
            <w:r w:rsidRPr="14BE2A8B">
              <w:rPr>
                <w:rFonts w:ascii="Calibri" w:hAnsi="Calibri" w:cs="Arial"/>
                <w:lang w:val="en-AU"/>
              </w:rPr>
              <w:t xml:space="preserve">If </w:t>
            </w:r>
            <w:r w:rsidR="78640C98" w:rsidRPr="14BE2A8B">
              <w:rPr>
                <w:rFonts w:ascii="Calibri" w:hAnsi="Calibri" w:cs="Arial"/>
                <w:lang w:val="en-AU"/>
              </w:rPr>
              <w:t xml:space="preserve">equivalent </w:t>
            </w:r>
            <w:r w:rsidR="51108BAA" w:rsidRPr="14BE2A8B">
              <w:rPr>
                <w:rFonts w:ascii="Calibri" w:hAnsi="Calibri" w:cs="Arial"/>
                <w:lang w:val="en-AU"/>
              </w:rPr>
              <w:t>penalties</w:t>
            </w:r>
            <w:r w:rsidRPr="14BE2A8B">
              <w:rPr>
                <w:rFonts w:ascii="Calibri" w:hAnsi="Calibri" w:cs="Arial"/>
                <w:lang w:val="en-AU"/>
              </w:rPr>
              <w:t xml:space="preserve"> become available in the ACT</w:t>
            </w:r>
            <w:r w:rsidR="51108BAA" w:rsidRPr="14BE2A8B">
              <w:rPr>
                <w:rFonts w:ascii="Calibri" w:hAnsi="Calibri" w:cs="Arial"/>
                <w:lang w:val="en-AU"/>
              </w:rPr>
              <w:t xml:space="preserve">, </w:t>
            </w:r>
            <w:r w:rsidRPr="14BE2A8B">
              <w:rPr>
                <w:rFonts w:ascii="Calibri" w:hAnsi="Calibri" w:cs="Arial"/>
                <w:lang w:val="en-AU"/>
              </w:rPr>
              <w:t xml:space="preserve">should the level of criminal fines also be lifted accordingly? </w:t>
            </w:r>
          </w:p>
          <w:p w14:paraId="544EB014" w14:textId="2AAC7E9D" w:rsidR="2A2C5D90" w:rsidRDefault="2A2C5D90" w:rsidP="00E00AD9">
            <w:pPr>
              <w:pStyle w:val="Header"/>
              <w:keepNext/>
              <w:keepLines/>
              <w:widowControl/>
              <w:tabs>
                <w:tab w:val="clear" w:pos="4320"/>
                <w:tab w:val="clear" w:pos="8640"/>
              </w:tabs>
              <w:contextualSpacing/>
              <w:rPr>
                <w:lang w:val="en-AU"/>
              </w:rPr>
            </w:pPr>
          </w:p>
          <w:p w14:paraId="5E37E463" w14:textId="3ACAC08A" w:rsidR="48C42023" w:rsidRPr="00E4742B" w:rsidRDefault="48C42023" w:rsidP="2A2C5D90">
            <w:pPr>
              <w:pStyle w:val="Header"/>
              <w:keepNext/>
              <w:keepLines/>
              <w:widowControl/>
              <w:tabs>
                <w:tab w:val="clear" w:pos="4320"/>
                <w:tab w:val="clear" w:pos="8640"/>
              </w:tabs>
              <w:contextualSpacing/>
              <w:rPr>
                <w:rFonts w:ascii="Calibri" w:hAnsi="Calibri" w:cs="Arial"/>
                <w:b/>
                <w:bCs/>
                <w:lang w:val="en-AU"/>
              </w:rPr>
            </w:pPr>
            <w:r w:rsidRPr="00E4742B">
              <w:rPr>
                <w:rFonts w:ascii="Calibri" w:hAnsi="Calibri" w:cs="Arial"/>
                <w:b/>
                <w:bCs/>
                <w:lang w:val="en-AU"/>
              </w:rPr>
              <w:t>Other changes?</w:t>
            </w:r>
          </w:p>
          <w:p w14:paraId="2C42829F" w14:textId="0AAFEAA8" w:rsidR="48C42023" w:rsidRDefault="549224DA" w:rsidP="3AA75E41">
            <w:pPr>
              <w:pStyle w:val="Header"/>
              <w:widowControl/>
              <w:numPr>
                <w:ilvl w:val="0"/>
                <w:numId w:val="7"/>
              </w:numPr>
              <w:tabs>
                <w:tab w:val="clear" w:pos="4320"/>
                <w:tab w:val="clear" w:pos="8640"/>
              </w:tabs>
              <w:contextualSpacing/>
              <w:rPr>
                <w:rFonts w:ascii="Calibri" w:hAnsi="Calibri" w:cs="Arial"/>
                <w:lang w:val="en-AU"/>
              </w:rPr>
            </w:pPr>
            <w:r w:rsidRPr="14BE2A8B">
              <w:rPr>
                <w:rFonts w:ascii="Calibri" w:hAnsi="Calibri" w:cs="Arial"/>
                <w:lang w:val="en-AU"/>
              </w:rPr>
              <w:t xml:space="preserve">Are existing mechanisms to prevent regulated utilities passing on costs of fines to consumers sufficient? </w:t>
            </w:r>
          </w:p>
          <w:p w14:paraId="20A71469" w14:textId="77777777" w:rsidR="00851BFA" w:rsidRDefault="00851BFA" w:rsidP="00851BFA">
            <w:pPr>
              <w:pStyle w:val="Header"/>
              <w:widowControl/>
              <w:tabs>
                <w:tab w:val="clear" w:pos="4320"/>
                <w:tab w:val="clear" w:pos="8640"/>
              </w:tabs>
              <w:ind w:left="360"/>
              <w:contextualSpacing/>
              <w:rPr>
                <w:rFonts w:ascii="Calibri" w:hAnsi="Calibri" w:cs="Arial"/>
                <w:lang w:val="en-AU"/>
              </w:rPr>
            </w:pPr>
          </w:p>
          <w:p w14:paraId="0A28BB35" w14:textId="77777777" w:rsidR="005332DC" w:rsidRDefault="159985B4" w:rsidP="2F00E841">
            <w:pPr>
              <w:pStyle w:val="Header"/>
              <w:keepLines/>
              <w:widowControl/>
              <w:numPr>
                <w:ilvl w:val="0"/>
                <w:numId w:val="7"/>
              </w:numPr>
              <w:tabs>
                <w:tab w:val="clear" w:pos="4320"/>
                <w:tab w:val="clear" w:pos="8640"/>
              </w:tabs>
              <w:contextualSpacing/>
              <w:rPr>
                <w:rFonts w:ascii="Calibri" w:hAnsi="Calibri" w:cs="Arial"/>
                <w:lang w:val="en-AU"/>
              </w:rPr>
            </w:pPr>
            <w:r w:rsidRPr="14BE2A8B">
              <w:rPr>
                <w:rFonts w:ascii="Calibri" w:hAnsi="Calibri" w:cs="Arial"/>
                <w:lang w:val="en-AU"/>
              </w:rPr>
              <w:t>A</w:t>
            </w:r>
            <w:r w:rsidR="39D142AC" w:rsidRPr="14BE2A8B">
              <w:rPr>
                <w:rFonts w:ascii="Calibri" w:hAnsi="Calibri" w:cs="Arial"/>
                <w:lang w:val="en-AU"/>
              </w:rPr>
              <w:t>re there other changes to the existing regulatory framework of the Utilities Act</w:t>
            </w:r>
            <w:r w:rsidR="40793BE5" w:rsidRPr="14BE2A8B">
              <w:rPr>
                <w:rFonts w:ascii="Calibri" w:hAnsi="Calibri" w:cs="Arial"/>
                <w:lang w:val="en-AU"/>
              </w:rPr>
              <w:t xml:space="preserve"> that you would suggest </w:t>
            </w:r>
            <w:proofErr w:type="gramStart"/>
            <w:r w:rsidR="00246CE8" w:rsidRPr="14BE2A8B">
              <w:rPr>
                <w:rFonts w:ascii="Calibri" w:hAnsi="Calibri" w:cs="Arial"/>
                <w:lang w:val="en-AU"/>
              </w:rPr>
              <w:t>to improve</w:t>
            </w:r>
            <w:proofErr w:type="gramEnd"/>
            <w:r w:rsidR="00246CE8" w:rsidRPr="14BE2A8B">
              <w:rPr>
                <w:rFonts w:ascii="Calibri" w:hAnsi="Calibri" w:cs="Arial"/>
                <w:lang w:val="en-AU"/>
              </w:rPr>
              <w:t xml:space="preserve"> outcomes for consumers</w:t>
            </w:r>
            <w:r w:rsidR="39D142AC" w:rsidRPr="14BE2A8B">
              <w:rPr>
                <w:rFonts w:ascii="Calibri" w:hAnsi="Calibri" w:cs="Arial"/>
                <w:lang w:val="en-AU"/>
              </w:rPr>
              <w:t>?</w:t>
            </w:r>
          </w:p>
          <w:p w14:paraId="187ACEB1" w14:textId="77777777" w:rsidR="00851BFA" w:rsidRDefault="00851BFA" w:rsidP="00851BFA">
            <w:pPr>
              <w:pStyle w:val="Header"/>
              <w:keepLines/>
              <w:widowControl/>
              <w:tabs>
                <w:tab w:val="clear" w:pos="4320"/>
                <w:tab w:val="clear" w:pos="8640"/>
              </w:tabs>
              <w:contextualSpacing/>
              <w:rPr>
                <w:rFonts w:ascii="Calibri" w:hAnsi="Calibri" w:cs="Arial"/>
                <w:lang w:val="en-AU"/>
              </w:rPr>
            </w:pPr>
          </w:p>
          <w:p w14:paraId="7008A59C" w14:textId="50CAABAC" w:rsidR="00A217C6" w:rsidRDefault="4EE761C6" w:rsidP="2F00E841">
            <w:pPr>
              <w:pStyle w:val="Header"/>
              <w:keepLines/>
              <w:widowControl/>
              <w:numPr>
                <w:ilvl w:val="0"/>
                <w:numId w:val="7"/>
              </w:numPr>
              <w:tabs>
                <w:tab w:val="clear" w:pos="4320"/>
                <w:tab w:val="clear" w:pos="8640"/>
              </w:tabs>
              <w:contextualSpacing/>
              <w:rPr>
                <w:rFonts w:ascii="Calibri" w:hAnsi="Calibri" w:cs="Arial"/>
                <w:lang w:val="en-AU"/>
              </w:rPr>
            </w:pPr>
            <w:r w:rsidRPr="14BE2A8B">
              <w:rPr>
                <w:rFonts w:ascii="Calibri" w:hAnsi="Calibri" w:cs="Arial"/>
                <w:lang w:val="en-AU"/>
              </w:rPr>
              <w:t>Are there any transition</w:t>
            </w:r>
            <w:r w:rsidR="00246CE8" w:rsidRPr="14BE2A8B">
              <w:rPr>
                <w:rFonts w:ascii="Calibri" w:hAnsi="Calibri" w:cs="Arial"/>
                <w:lang w:val="en-AU"/>
              </w:rPr>
              <w:t>al</w:t>
            </w:r>
            <w:r w:rsidRPr="14BE2A8B">
              <w:rPr>
                <w:rFonts w:ascii="Calibri" w:hAnsi="Calibri" w:cs="Arial"/>
                <w:lang w:val="en-AU"/>
              </w:rPr>
              <w:t xml:space="preserve"> issues that </w:t>
            </w:r>
            <w:r w:rsidR="6AB6F1FC" w:rsidRPr="14BE2A8B">
              <w:rPr>
                <w:rFonts w:ascii="Calibri" w:hAnsi="Calibri" w:cs="Arial"/>
                <w:lang w:val="en-AU"/>
              </w:rPr>
              <w:t>need to</w:t>
            </w:r>
            <w:r w:rsidRPr="14BE2A8B">
              <w:rPr>
                <w:rFonts w:ascii="Calibri" w:hAnsi="Calibri" w:cs="Arial"/>
                <w:lang w:val="en-AU"/>
              </w:rPr>
              <w:t xml:space="preserve"> be </w:t>
            </w:r>
            <w:r w:rsidR="700D5D8A" w:rsidRPr="14BE2A8B">
              <w:rPr>
                <w:rFonts w:ascii="Calibri" w:hAnsi="Calibri" w:cs="Arial"/>
                <w:lang w:val="en-AU"/>
              </w:rPr>
              <w:t>addressed</w:t>
            </w:r>
            <w:r w:rsidRPr="14BE2A8B">
              <w:rPr>
                <w:rFonts w:ascii="Calibri" w:hAnsi="Calibri" w:cs="Arial"/>
                <w:lang w:val="en-AU"/>
              </w:rPr>
              <w:t>?</w:t>
            </w:r>
          </w:p>
          <w:p w14:paraId="5D9BFE6B" w14:textId="4D8C5A80" w:rsidR="00A90725" w:rsidRPr="00A217C6" w:rsidRDefault="00A90725" w:rsidP="003B0914">
            <w:pPr>
              <w:pStyle w:val="Header"/>
              <w:keepLines/>
              <w:widowControl/>
              <w:tabs>
                <w:tab w:val="clear" w:pos="4320"/>
                <w:tab w:val="clear" w:pos="8640"/>
              </w:tabs>
              <w:ind w:left="360"/>
              <w:contextualSpacing/>
              <w:rPr>
                <w:rFonts w:ascii="Calibri" w:hAnsi="Calibri" w:cs="Arial"/>
                <w:szCs w:val="24"/>
                <w:lang w:val="en-AU"/>
              </w:rPr>
            </w:pPr>
          </w:p>
        </w:tc>
      </w:tr>
    </w:tbl>
    <w:p w14:paraId="1D2C1BC4" w14:textId="1ADCE0C6" w:rsidR="002C6C7B" w:rsidRPr="00212D54" w:rsidRDefault="002C6C7B" w:rsidP="2F00E841">
      <w:pPr>
        <w:rPr>
          <w:rFonts w:ascii="Calibri" w:hAnsi="Calibri" w:cs="Calibri"/>
          <w:highlight w:val="yellow"/>
        </w:rPr>
      </w:pPr>
    </w:p>
    <w:p w14:paraId="4031FFE0" w14:textId="77777777" w:rsidR="00EB57B0" w:rsidRPr="00212D54" w:rsidRDefault="00EB57B0" w:rsidP="002C6C7B">
      <w:pPr>
        <w:rPr>
          <w:rFonts w:ascii="Calibri" w:hAnsi="Calibri" w:cs="Calibri"/>
        </w:rPr>
      </w:pPr>
    </w:p>
    <w:sectPr w:rsidR="00EB57B0" w:rsidRPr="00212D54" w:rsidSect="005A1C2C">
      <w:pgSz w:w="11906" w:h="16838"/>
      <w:pgMar w:top="1440" w:right="1440" w:bottom="1440" w:left="1440" w:header="708" w:footer="40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76D287" w14:textId="77777777" w:rsidR="00D8210A" w:rsidRDefault="00D8210A" w:rsidP="00317281">
      <w:r>
        <w:separator/>
      </w:r>
    </w:p>
  </w:endnote>
  <w:endnote w:type="continuationSeparator" w:id="0">
    <w:p w14:paraId="657A418A" w14:textId="77777777" w:rsidR="00D8210A" w:rsidRDefault="00D8210A" w:rsidP="00317281">
      <w:r>
        <w:continuationSeparator/>
      </w:r>
    </w:p>
  </w:endnote>
  <w:endnote w:type="continuationNotice" w:id="1">
    <w:p w14:paraId="62C82390" w14:textId="77777777" w:rsidR="00D8210A" w:rsidRDefault="00D8210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W1)">
    <w:altName w:val="Times New Roman"/>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Yu Mincho">
    <w:altName w:val="游明朝"/>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39A422" w14:textId="77777777" w:rsidR="00B73433" w:rsidRDefault="00B7343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4B743B" w14:textId="388E3B80" w:rsidR="000D0740" w:rsidRDefault="000D0740">
    <w:pPr>
      <w:pStyle w:val="Footer"/>
      <w:jc w:val="right"/>
      <w:rPr>
        <w:rFonts w:ascii="Calibri" w:hAnsi="Calibri"/>
        <w:color w:val="2B579A"/>
        <w:shd w:val="clear" w:color="auto" w:fill="E6E6E6"/>
      </w:rPr>
    </w:pPr>
    <w:r w:rsidRPr="00CA2D9B">
      <w:rPr>
        <w:rFonts w:ascii="Calibri" w:hAnsi="Calibri"/>
        <w:color w:val="2B579A"/>
        <w:shd w:val="clear" w:color="auto" w:fill="E6E6E6"/>
      </w:rPr>
      <w:fldChar w:fldCharType="begin"/>
    </w:r>
    <w:r w:rsidRPr="00CA2D9B">
      <w:rPr>
        <w:rFonts w:ascii="Calibri" w:hAnsi="Calibri"/>
      </w:rPr>
      <w:instrText xml:space="preserve"> PAGE   \* MERGEFORMAT </w:instrText>
    </w:r>
    <w:r w:rsidRPr="00CA2D9B">
      <w:rPr>
        <w:rFonts w:ascii="Calibri" w:hAnsi="Calibri"/>
        <w:color w:val="2B579A"/>
        <w:shd w:val="clear" w:color="auto" w:fill="E6E6E6"/>
      </w:rPr>
      <w:fldChar w:fldCharType="separate"/>
    </w:r>
    <w:r w:rsidRPr="00CA2D9B">
      <w:rPr>
        <w:rFonts w:ascii="Calibri" w:hAnsi="Calibri"/>
        <w:noProof/>
      </w:rPr>
      <w:t>2</w:t>
    </w:r>
    <w:r w:rsidRPr="00CA2D9B">
      <w:rPr>
        <w:rFonts w:ascii="Calibri" w:hAnsi="Calibri"/>
        <w:color w:val="2B579A"/>
        <w:shd w:val="clear" w:color="auto" w:fill="E6E6E6"/>
      </w:rPr>
      <w:fldChar w:fldCharType="end"/>
    </w:r>
  </w:p>
  <w:p w14:paraId="25D349C4" w14:textId="369D8E54" w:rsidR="006F23DE" w:rsidRDefault="006F23DE" w:rsidP="006F23DE">
    <w:pPr>
      <w:pStyle w:val="Header"/>
    </w:pPr>
    <w:r>
      <w:ptab w:relativeTo="margin" w:alignment="center" w:leader="none"/>
    </w:r>
    <w:r>
      <w:ptab w:relativeTo="margin" w:alignment="right" w:leader="none"/>
    </w:r>
  </w:p>
  <w:p w14:paraId="438D68A7" w14:textId="77777777" w:rsidR="006F23DE" w:rsidRPr="00016F8E" w:rsidRDefault="006F23DE">
    <w:pPr>
      <w:pStyle w:val="Footer"/>
      <w:jc w:val="right"/>
      <w:rPr>
        <w:rFonts w:ascii="Calibri" w:hAnsi="Calibri"/>
      </w:rPr>
    </w:pPr>
  </w:p>
  <w:p w14:paraId="53B7017B" w14:textId="77777777" w:rsidR="000D0740" w:rsidRDefault="000D074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BF40C7" w14:textId="22104D21" w:rsidR="006F23DE" w:rsidRDefault="006F23DE" w:rsidP="006F23DE">
    <w:pPr>
      <w:pStyle w:val="Header"/>
    </w:pPr>
    <w:r>
      <w:ptab w:relativeTo="margin" w:alignment="center" w:leader="none"/>
    </w:r>
    <w:r>
      <w:ptab w:relativeTo="margin" w:alignment="right" w:leader="none"/>
    </w:r>
  </w:p>
  <w:p w14:paraId="2C869417" w14:textId="77777777" w:rsidR="006F23DE" w:rsidRDefault="006F23D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B6AD8E" w14:textId="77777777" w:rsidR="00D8210A" w:rsidRDefault="00D8210A" w:rsidP="00317281">
      <w:r>
        <w:separator/>
      </w:r>
    </w:p>
  </w:footnote>
  <w:footnote w:type="continuationSeparator" w:id="0">
    <w:p w14:paraId="460ECA99" w14:textId="77777777" w:rsidR="00D8210A" w:rsidRDefault="00D8210A" w:rsidP="00317281">
      <w:r>
        <w:continuationSeparator/>
      </w:r>
    </w:p>
  </w:footnote>
  <w:footnote w:type="continuationNotice" w:id="1">
    <w:p w14:paraId="6B984C8E" w14:textId="77777777" w:rsidR="00D8210A" w:rsidRDefault="00D8210A"/>
  </w:footnote>
  <w:footnote w:id="2">
    <w:p w14:paraId="7354F148" w14:textId="44105E20" w:rsidR="0031765D" w:rsidRDefault="0031765D">
      <w:pPr>
        <w:pStyle w:val="FootnoteText"/>
      </w:pPr>
      <w:r>
        <w:rPr>
          <w:rStyle w:val="FootnoteReference"/>
        </w:rPr>
        <w:footnoteRef/>
      </w:r>
      <w:r>
        <w:t xml:space="preserve"> </w:t>
      </w:r>
      <w:r w:rsidRPr="00563CC3">
        <w:rPr>
          <w:rFonts w:ascii="Calibri" w:hAnsi="Calibri" w:cs="Calibri"/>
        </w:rPr>
        <w:t>The Utilities Act 2000 sets out the maximum fines that can be imposed by a court in a criminal prosecution in “penalty units”. A penalty unit for a corporation is presently $810.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78E895" w14:textId="77777777" w:rsidR="00B73433" w:rsidRDefault="00B7343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299C0B" w14:textId="6C954C50" w:rsidR="006F23DE" w:rsidRDefault="006F23DE" w:rsidP="006F23DE">
    <w:pPr>
      <w:pStyle w:val="Header"/>
    </w:pPr>
    <w:r>
      <w:ptab w:relativeTo="margin" w:alignment="center" w:leader="none"/>
    </w:r>
    <w:r>
      <w:ptab w:relativeTo="margin" w:alignment="right" w:leader="none"/>
    </w:r>
  </w:p>
  <w:p w14:paraId="49C8A40F" w14:textId="77777777" w:rsidR="006F23DE" w:rsidRDefault="006F23D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462C7A" w14:textId="3F0AD318" w:rsidR="006F23DE" w:rsidRDefault="006F23DE">
    <w:pPr>
      <w:pStyle w:val="Header"/>
    </w:pPr>
    <w:r>
      <w:ptab w:relativeTo="margin" w:alignment="center" w:leader="none"/>
    </w:r>
    <w:r>
      <w:ptab w:relativeTo="margin" w:alignment="right" w:leader="none"/>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AEEC51"/>
    <w:multiLevelType w:val="hybridMultilevel"/>
    <w:tmpl w:val="FFFFFFFF"/>
    <w:lvl w:ilvl="0" w:tplc="F8266AC4">
      <w:start w:val="1"/>
      <w:numFmt w:val="bullet"/>
      <w:lvlText w:val=""/>
      <w:lvlJc w:val="left"/>
      <w:pPr>
        <w:ind w:left="720" w:hanging="360"/>
      </w:pPr>
      <w:rPr>
        <w:rFonts w:ascii="Symbol" w:hAnsi="Symbol" w:hint="default"/>
      </w:rPr>
    </w:lvl>
    <w:lvl w:ilvl="1" w:tplc="3B1E7BBA">
      <w:start w:val="1"/>
      <w:numFmt w:val="bullet"/>
      <w:lvlText w:val="o"/>
      <w:lvlJc w:val="left"/>
      <w:pPr>
        <w:ind w:left="1440" w:hanging="360"/>
      </w:pPr>
      <w:rPr>
        <w:rFonts w:ascii="Courier New" w:hAnsi="Courier New" w:hint="default"/>
      </w:rPr>
    </w:lvl>
    <w:lvl w:ilvl="2" w:tplc="F89657F0">
      <w:start w:val="1"/>
      <w:numFmt w:val="bullet"/>
      <w:lvlText w:val=""/>
      <w:lvlJc w:val="left"/>
      <w:pPr>
        <w:ind w:left="2160" w:hanging="360"/>
      </w:pPr>
      <w:rPr>
        <w:rFonts w:ascii="Wingdings" w:hAnsi="Wingdings" w:hint="default"/>
      </w:rPr>
    </w:lvl>
    <w:lvl w:ilvl="3" w:tplc="0D48FC48">
      <w:start w:val="1"/>
      <w:numFmt w:val="bullet"/>
      <w:lvlText w:val=""/>
      <w:lvlJc w:val="left"/>
      <w:pPr>
        <w:ind w:left="2880" w:hanging="360"/>
      </w:pPr>
      <w:rPr>
        <w:rFonts w:ascii="Symbol" w:hAnsi="Symbol" w:hint="default"/>
      </w:rPr>
    </w:lvl>
    <w:lvl w:ilvl="4" w:tplc="F3161E50">
      <w:start w:val="1"/>
      <w:numFmt w:val="bullet"/>
      <w:lvlText w:val="o"/>
      <w:lvlJc w:val="left"/>
      <w:pPr>
        <w:ind w:left="3600" w:hanging="360"/>
      </w:pPr>
      <w:rPr>
        <w:rFonts w:ascii="Courier New" w:hAnsi="Courier New" w:hint="default"/>
      </w:rPr>
    </w:lvl>
    <w:lvl w:ilvl="5" w:tplc="37866DEC">
      <w:start w:val="1"/>
      <w:numFmt w:val="bullet"/>
      <w:lvlText w:val=""/>
      <w:lvlJc w:val="left"/>
      <w:pPr>
        <w:ind w:left="4320" w:hanging="360"/>
      </w:pPr>
      <w:rPr>
        <w:rFonts w:ascii="Wingdings" w:hAnsi="Wingdings" w:hint="default"/>
      </w:rPr>
    </w:lvl>
    <w:lvl w:ilvl="6" w:tplc="65C2499E">
      <w:start w:val="1"/>
      <w:numFmt w:val="bullet"/>
      <w:lvlText w:val=""/>
      <w:lvlJc w:val="left"/>
      <w:pPr>
        <w:ind w:left="5040" w:hanging="360"/>
      </w:pPr>
      <w:rPr>
        <w:rFonts w:ascii="Symbol" w:hAnsi="Symbol" w:hint="default"/>
      </w:rPr>
    </w:lvl>
    <w:lvl w:ilvl="7" w:tplc="C55AA998">
      <w:start w:val="1"/>
      <w:numFmt w:val="bullet"/>
      <w:lvlText w:val="o"/>
      <w:lvlJc w:val="left"/>
      <w:pPr>
        <w:ind w:left="5760" w:hanging="360"/>
      </w:pPr>
      <w:rPr>
        <w:rFonts w:ascii="Courier New" w:hAnsi="Courier New" w:hint="default"/>
      </w:rPr>
    </w:lvl>
    <w:lvl w:ilvl="8" w:tplc="DE7A95A4">
      <w:start w:val="1"/>
      <w:numFmt w:val="bullet"/>
      <w:lvlText w:val=""/>
      <w:lvlJc w:val="left"/>
      <w:pPr>
        <w:ind w:left="6480" w:hanging="360"/>
      </w:pPr>
      <w:rPr>
        <w:rFonts w:ascii="Wingdings" w:hAnsi="Wingdings" w:hint="default"/>
      </w:rPr>
    </w:lvl>
  </w:abstractNum>
  <w:abstractNum w:abstractNumId="1" w15:restartNumberingAfterBreak="0">
    <w:nsid w:val="0A785258"/>
    <w:multiLevelType w:val="hybridMultilevel"/>
    <w:tmpl w:val="6D84D24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0DA355F1"/>
    <w:multiLevelType w:val="hybridMultilevel"/>
    <w:tmpl w:val="68482FDE"/>
    <w:lvl w:ilvl="0" w:tplc="0C090001">
      <w:start w:val="1"/>
      <w:numFmt w:val="bullet"/>
      <w:lvlText w:val=""/>
      <w:lvlJc w:val="left"/>
      <w:pPr>
        <w:ind w:left="720" w:hanging="360"/>
      </w:pPr>
      <w:rPr>
        <w:rFonts w:ascii="Symbol" w:hAnsi="Symbol"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11465255"/>
    <w:multiLevelType w:val="hybridMultilevel"/>
    <w:tmpl w:val="CB10CB5C"/>
    <w:lvl w:ilvl="0" w:tplc="0C090001">
      <w:start w:val="1"/>
      <w:numFmt w:val="bullet"/>
      <w:lvlText w:val=""/>
      <w:lvlJc w:val="left"/>
      <w:pPr>
        <w:ind w:left="360" w:hanging="360"/>
      </w:pPr>
      <w:rPr>
        <w:rFonts w:ascii="Symbol" w:hAnsi="Symbol" w:hint="default"/>
        <w:i w:val="0"/>
        <w:iCs w:val="0"/>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16FC6BBF"/>
    <w:multiLevelType w:val="hybridMultilevel"/>
    <w:tmpl w:val="8CFACFF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1A3D4DD9"/>
    <w:multiLevelType w:val="hybridMultilevel"/>
    <w:tmpl w:val="9A1A769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1BEE0ED3"/>
    <w:multiLevelType w:val="hybridMultilevel"/>
    <w:tmpl w:val="FFFFFFFF"/>
    <w:lvl w:ilvl="0" w:tplc="4B0A18F8">
      <w:start w:val="1"/>
      <w:numFmt w:val="decimal"/>
      <w:lvlText w:val="%1."/>
      <w:lvlJc w:val="left"/>
      <w:pPr>
        <w:ind w:left="720" w:hanging="360"/>
      </w:pPr>
    </w:lvl>
    <w:lvl w:ilvl="1" w:tplc="26806C1E">
      <w:start w:val="1"/>
      <w:numFmt w:val="lowerLetter"/>
      <w:lvlText w:val="%2."/>
      <w:lvlJc w:val="left"/>
      <w:pPr>
        <w:ind w:left="1440" w:hanging="360"/>
      </w:pPr>
    </w:lvl>
    <w:lvl w:ilvl="2" w:tplc="2C30A6F4">
      <w:start w:val="1"/>
      <w:numFmt w:val="lowerRoman"/>
      <w:lvlText w:val="%3."/>
      <w:lvlJc w:val="right"/>
      <w:pPr>
        <w:ind w:left="2160" w:hanging="180"/>
      </w:pPr>
    </w:lvl>
    <w:lvl w:ilvl="3" w:tplc="846C8848">
      <w:start w:val="1"/>
      <w:numFmt w:val="decimal"/>
      <w:lvlText w:val="%4."/>
      <w:lvlJc w:val="left"/>
      <w:pPr>
        <w:ind w:left="2880" w:hanging="360"/>
      </w:pPr>
    </w:lvl>
    <w:lvl w:ilvl="4" w:tplc="9E3E2182">
      <w:start w:val="1"/>
      <w:numFmt w:val="lowerLetter"/>
      <w:lvlText w:val="%5."/>
      <w:lvlJc w:val="left"/>
      <w:pPr>
        <w:ind w:left="3600" w:hanging="360"/>
      </w:pPr>
    </w:lvl>
    <w:lvl w:ilvl="5" w:tplc="E10054A0">
      <w:start w:val="1"/>
      <w:numFmt w:val="lowerRoman"/>
      <w:lvlText w:val="%6."/>
      <w:lvlJc w:val="right"/>
      <w:pPr>
        <w:ind w:left="4320" w:hanging="180"/>
      </w:pPr>
    </w:lvl>
    <w:lvl w:ilvl="6" w:tplc="D018E5F0">
      <w:start w:val="1"/>
      <w:numFmt w:val="decimal"/>
      <w:lvlText w:val="%7."/>
      <w:lvlJc w:val="left"/>
      <w:pPr>
        <w:ind w:left="5040" w:hanging="360"/>
      </w:pPr>
    </w:lvl>
    <w:lvl w:ilvl="7" w:tplc="CD5E1D7A">
      <w:start w:val="1"/>
      <w:numFmt w:val="lowerLetter"/>
      <w:lvlText w:val="%8."/>
      <w:lvlJc w:val="left"/>
      <w:pPr>
        <w:ind w:left="5760" w:hanging="360"/>
      </w:pPr>
    </w:lvl>
    <w:lvl w:ilvl="8" w:tplc="3B5C9722">
      <w:start w:val="1"/>
      <w:numFmt w:val="lowerRoman"/>
      <w:lvlText w:val="%9."/>
      <w:lvlJc w:val="right"/>
      <w:pPr>
        <w:ind w:left="6480" w:hanging="180"/>
      </w:pPr>
    </w:lvl>
  </w:abstractNum>
  <w:abstractNum w:abstractNumId="7" w15:restartNumberingAfterBreak="0">
    <w:nsid w:val="22BE7AEC"/>
    <w:multiLevelType w:val="hybridMultilevel"/>
    <w:tmpl w:val="05E6A7E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23733415"/>
    <w:multiLevelType w:val="hybridMultilevel"/>
    <w:tmpl w:val="79784BC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26066D87"/>
    <w:multiLevelType w:val="hybridMultilevel"/>
    <w:tmpl w:val="2146BCB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2ACF0B4E"/>
    <w:multiLevelType w:val="multilevel"/>
    <w:tmpl w:val="825693E2"/>
    <w:lvl w:ilvl="0">
      <w:start w:val="1"/>
      <w:numFmt w:val="bullet"/>
      <w:pStyle w:val="ListBullet"/>
      <w:lvlText w:val=""/>
      <w:lvlJc w:val="left"/>
      <w:rPr>
        <w:rFonts w:ascii="Symbol" w:hAnsi="Symbol" w:hint="default"/>
        <w:b w:val="0"/>
        <w:i w:val="0"/>
        <w:caps w:val="0"/>
        <w:strike w:val="0"/>
        <w:dstrike w:val="0"/>
        <w:vanish w:val="0"/>
        <w:webHidden w:val="0"/>
        <w:color w:val="auto"/>
        <w:kern w:val="0"/>
        <w:sz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bullet"/>
      <w:lvlText w:val="–"/>
      <w:lvlJc w:val="left"/>
      <w:pPr>
        <w:tabs>
          <w:tab w:val="num" w:pos="851"/>
        </w:tabs>
        <w:ind w:left="851" w:hanging="426"/>
      </w:pPr>
      <w:rPr>
        <w:rFonts w:ascii="Times New Roman" w:hAnsi="Times New Roman" w:cs="Times New Roman" w:hint="default"/>
        <w:color w:val="auto"/>
      </w:rPr>
    </w:lvl>
    <w:lvl w:ilvl="2">
      <w:start w:val="1"/>
      <w:numFmt w:val="bullet"/>
      <w:lvlText w:val=":"/>
      <w:lvlJc w:val="left"/>
      <w:pPr>
        <w:tabs>
          <w:tab w:val="num" w:pos="1276"/>
        </w:tabs>
        <w:ind w:left="1276" w:hanging="425"/>
      </w:pPr>
      <w:rPr>
        <w:rFonts w:ascii="Times New (W1)" w:hAnsi="Times New (W1)" w:cs="Times New Roman" w:hint="default"/>
        <w:b/>
        <w:i w:val="0"/>
        <w:color w:val="auto"/>
      </w:rPr>
    </w:lvl>
    <w:lvl w:ilvl="3">
      <w:start w:val="1"/>
      <w:numFmt w:val="none"/>
      <w:suff w:val="nothing"/>
      <w:lvlText w:val=""/>
      <w:lvlJc w:val="left"/>
      <w:pPr>
        <w:ind w:left="0" w:firstLine="0"/>
      </w:pPr>
      <w:rPr>
        <w:rFonts w:cs="Times New Roman"/>
      </w:rPr>
    </w:lvl>
    <w:lvl w:ilvl="4">
      <w:start w:val="1"/>
      <w:numFmt w:val="none"/>
      <w:suff w:val="nothing"/>
      <w:lvlText w:val=""/>
      <w:lvlJc w:val="left"/>
      <w:pPr>
        <w:ind w:left="1440" w:firstLine="0"/>
      </w:pPr>
      <w:rPr>
        <w:rFonts w:cs="Times New Roman"/>
      </w:rPr>
    </w:lvl>
    <w:lvl w:ilvl="5">
      <w:start w:val="1"/>
      <w:numFmt w:val="none"/>
      <w:suff w:val="nothing"/>
      <w:lvlText w:val=""/>
      <w:lvlJc w:val="left"/>
      <w:pPr>
        <w:ind w:left="1440" w:firstLine="0"/>
      </w:pPr>
      <w:rPr>
        <w:rFonts w:cs="Times New Roman"/>
      </w:rPr>
    </w:lvl>
    <w:lvl w:ilvl="6">
      <w:start w:val="1"/>
      <w:numFmt w:val="none"/>
      <w:suff w:val="nothing"/>
      <w:lvlText w:val=""/>
      <w:lvlJc w:val="left"/>
      <w:pPr>
        <w:ind w:left="1440" w:firstLine="0"/>
      </w:pPr>
      <w:rPr>
        <w:rFonts w:cs="Times New Roman"/>
      </w:rPr>
    </w:lvl>
    <w:lvl w:ilvl="7">
      <w:start w:val="1"/>
      <w:numFmt w:val="none"/>
      <w:suff w:val="nothing"/>
      <w:lvlText w:val=""/>
      <w:lvlJc w:val="left"/>
      <w:pPr>
        <w:ind w:left="1440" w:firstLine="0"/>
      </w:pPr>
      <w:rPr>
        <w:rFonts w:cs="Times New Roman"/>
      </w:rPr>
    </w:lvl>
    <w:lvl w:ilvl="8">
      <w:start w:val="1"/>
      <w:numFmt w:val="none"/>
      <w:suff w:val="nothing"/>
      <w:lvlText w:val=""/>
      <w:lvlJc w:val="left"/>
      <w:pPr>
        <w:ind w:left="1440" w:firstLine="0"/>
      </w:pPr>
      <w:rPr>
        <w:rFonts w:cs="Times New Roman"/>
      </w:rPr>
    </w:lvl>
  </w:abstractNum>
  <w:abstractNum w:abstractNumId="11" w15:restartNumberingAfterBreak="0">
    <w:nsid w:val="31BE0F6B"/>
    <w:multiLevelType w:val="multilevel"/>
    <w:tmpl w:val="11CADFB0"/>
    <w:numStyleLink w:val="ICRCBulletPoints"/>
  </w:abstractNum>
  <w:abstractNum w:abstractNumId="12" w15:restartNumberingAfterBreak="0">
    <w:nsid w:val="32256962"/>
    <w:multiLevelType w:val="hybridMultilevel"/>
    <w:tmpl w:val="EBDE2EB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43695C54"/>
    <w:multiLevelType w:val="hybridMultilevel"/>
    <w:tmpl w:val="91888114"/>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43723F5A"/>
    <w:multiLevelType w:val="hybridMultilevel"/>
    <w:tmpl w:val="9ADA301C"/>
    <w:lvl w:ilvl="0" w:tplc="0C09000F">
      <w:start w:val="1"/>
      <w:numFmt w:val="decimal"/>
      <w:lvlText w:val="%1."/>
      <w:lvlJc w:val="left"/>
      <w:pPr>
        <w:ind w:left="720" w:hanging="360"/>
      </w:pPr>
      <w:rPr>
        <w:rFonts w:hint="default"/>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44FC3979"/>
    <w:multiLevelType w:val="hybridMultilevel"/>
    <w:tmpl w:val="9EAA5C62"/>
    <w:lvl w:ilvl="0" w:tplc="A05453E2">
      <w:start w:val="1"/>
      <w:numFmt w:val="lowerLetter"/>
      <w:lvlText w:val="%1."/>
      <w:lvlJc w:val="left"/>
      <w:pPr>
        <w:ind w:left="781" w:hanging="421"/>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45174CCE"/>
    <w:multiLevelType w:val="hybridMultilevel"/>
    <w:tmpl w:val="A460856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49563929"/>
    <w:multiLevelType w:val="hybridMultilevel"/>
    <w:tmpl w:val="551EB0DE"/>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4BCA4663"/>
    <w:multiLevelType w:val="hybridMultilevel"/>
    <w:tmpl w:val="02B4F84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50297540"/>
    <w:multiLevelType w:val="hybridMultilevel"/>
    <w:tmpl w:val="E5A4490C"/>
    <w:lvl w:ilvl="0" w:tplc="FFFFFFFF">
      <w:start w:val="1"/>
      <w:numFmt w:val="decimal"/>
      <w:lvlText w:val="%1."/>
      <w:lvlJc w:val="left"/>
      <w:pPr>
        <w:ind w:left="360" w:hanging="360"/>
      </w:pPr>
      <w:rPr>
        <w:i w:val="0"/>
        <w:iCs w:val="0"/>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5D3E6961"/>
    <w:multiLevelType w:val="hybridMultilevel"/>
    <w:tmpl w:val="561E2628"/>
    <w:lvl w:ilvl="0" w:tplc="0C090019">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62AB11EF"/>
    <w:multiLevelType w:val="hybridMultilevel"/>
    <w:tmpl w:val="E32E15D8"/>
    <w:lvl w:ilvl="0" w:tplc="3DDEEEF2">
      <w:start w:val="1"/>
      <w:numFmt w:val="bullet"/>
      <w:pStyle w:val="Bullet"/>
      <w:lvlText w:val=""/>
      <w:lvlJc w:val="left"/>
      <w:pPr>
        <w:ind w:left="644" w:hanging="360"/>
      </w:pPr>
      <w:rPr>
        <w:rFonts w:ascii="Symbol" w:hAnsi="Symbol" w:hint="default"/>
        <w:b w:val="0"/>
        <w:i w:val="0"/>
        <w:color w:val="auto"/>
        <w:sz w:val="22"/>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674926DB"/>
    <w:multiLevelType w:val="hybridMultilevel"/>
    <w:tmpl w:val="BF628568"/>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15:restartNumberingAfterBreak="0">
    <w:nsid w:val="68270046"/>
    <w:multiLevelType w:val="hybridMultilevel"/>
    <w:tmpl w:val="810E8A20"/>
    <w:lvl w:ilvl="0" w:tplc="0C090001">
      <w:start w:val="1"/>
      <w:numFmt w:val="bullet"/>
      <w:lvlText w:val=""/>
      <w:lvlJc w:val="left"/>
      <w:pPr>
        <w:ind w:left="360" w:hanging="360"/>
      </w:pPr>
      <w:rPr>
        <w:rFonts w:ascii="Symbol" w:hAnsi="Symbol" w:hint="default"/>
        <w:i w:val="0"/>
        <w:iCs w:val="0"/>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6B451224"/>
    <w:multiLevelType w:val="hybridMultilevel"/>
    <w:tmpl w:val="53B26B0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15:restartNumberingAfterBreak="0">
    <w:nsid w:val="712A1D69"/>
    <w:multiLevelType w:val="hybridMultilevel"/>
    <w:tmpl w:val="D4263C72"/>
    <w:lvl w:ilvl="0" w:tplc="0C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72305BD1"/>
    <w:multiLevelType w:val="multilevel"/>
    <w:tmpl w:val="11CADFB0"/>
    <w:styleLink w:val="ICRCBulletPoints"/>
    <w:lvl w:ilvl="0">
      <w:start w:val="1"/>
      <w:numFmt w:val="bullet"/>
      <w:pStyle w:val="Bullet1"/>
      <w:lvlText w:val="•"/>
      <w:lvlJc w:val="left"/>
      <w:rPr>
        <w:rFonts w:ascii="Arial" w:hAnsi="Arial" w:hint="default"/>
        <w:color w:val="000000"/>
      </w:rPr>
    </w:lvl>
    <w:lvl w:ilvl="1">
      <w:start w:val="1"/>
      <w:numFmt w:val="bullet"/>
      <w:pStyle w:val="Bullet2"/>
      <w:lvlText w:val="–"/>
      <w:lvlJc w:val="left"/>
      <w:rPr>
        <w:rFonts w:ascii="Calibri" w:hAnsi="Calibri" w:hint="default"/>
        <w:color w:val="7F7F7F"/>
      </w:rPr>
    </w:lvl>
    <w:lvl w:ilvl="2">
      <w:start w:val="1"/>
      <w:numFmt w:val="bullet"/>
      <w:pStyle w:val="Bullet3"/>
      <w:lvlText w:val="»"/>
      <w:lvlJc w:val="left"/>
      <w:rPr>
        <w:rFonts w:ascii="Calibri" w:hAnsi="Calibri" w:hint="default"/>
        <w:color w:val="7F7F7F"/>
      </w:rPr>
    </w:lvl>
    <w:lvl w:ilvl="3">
      <w:start w:val="1"/>
      <w:numFmt w:val="decimal"/>
      <w:lvlText w:val="(%4)"/>
      <w:lvlJc w:val="left"/>
      <w:pPr>
        <w:ind w:left="1136" w:hanging="284"/>
      </w:pPr>
      <w:rPr>
        <w:rFonts w:hint="default"/>
      </w:rPr>
    </w:lvl>
    <w:lvl w:ilvl="4">
      <w:start w:val="1"/>
      <w:numFmt w:val="lowerLetter"/>
      <w:lvlText w:val="(%5)"/>
      <w:lvlJc w:val="left"/>
      <w:pPr>
        <w:ind w:left="1420" w:hanging="284"/>
      </w:pPr>
      <w:rPr>
        <w:rFonts w:hint="default"/>
      </w:rPr>
    </w:lvl>
    <w:lvl w:ilvl="5">
      <w:start w:val="1"/>
      <w:numFmt w:val="lowerRoman"/>
      <w:lvlText w:val="(%6)"/>
      <w:lvlJc w:val="left"/>
      <w:pPr>
        <w:ind w:left="1704" w:hanging="284"/>
      </w:pPr>
      <w:rPr>
        <w:rFonts w:hint="default"/>
      </w:rPr>
    </w:lvl>
    <w:lvl w:ilvl="6">
      <w:start w:val="1"/>
      <w:numFmt w:val="decimal"/>
      <w:lvlText w:val="%7."/>
      <w:lvlJc w:val="left"/>
      <w:pPr>
        <w:ind w:left="1988" w:hanging="284"/>
      </w:pPr>
      <w:rPr>
        <w:rFonts w:hint="default"/>
      </w:rPr>
    </w:lvl>
    <w:lvl w:ilvl="7">
      <w:start w:val="1"/>
      <w:numFmt w:val="lowerLetter"/>
      <w:lvlText w:val="%8."/>
      <w:lvlJc w:val="left"/>
      <w:pPr>
        <w:ind w:left="2272" w:hanging="284"/>
      </w:pPr>
      <w:rPr>
        <w:rFonts w:hint="default"/>
      </w:rPr>
    </w:lvl>
    <w:lvl w:ilvl="8">
      <w:start w:val="1"/>
      <w:numFmt w:val="lowerRoman"/>
      <w:lvlText w:val="%9."/>
      <w:lvlJc w:val="left"/>
      <w:pPr>
        <w:ind w:left="2556" w:hanging="284"/>
      </w:pPr>
      <w:rPr>
        <w:rFonts w:hint="default"/>
      </w:rPr>
    </w:lvl>
  </w:abstractNum>
  <w:abstractNum w:abstractNumId="27" w15:restartNumberingAfterBreak="0">
    <w:nsid w:val="749583F4"/>
    <w:multiLevelType w:val="hybridMultilevel"/>
    <w:tmpl w:val="7DE2E282"/>
    <w:lvl w:ilvl="0" w:tplc="30B26DB6">
      <w:start w:val="1"/>
      <w:numFmt w:val="decimal"/>
      <w:lvlText w:val="%1."/>
      <w:lvlJc w:val="left"/>
      <w:pPr>
        <w:ind w:left="720" w:hanging="360"/>
      </w:pPr>
    </w:lvl>
    <w:lvl w:ilvl="1" w:tplc="55E477A4">
      <w:start w:val="1"/>
      <w:numFmt w:val="lowerLetter"/>
      <w:lvlText w:val="%2."/>
      <w:lvlJc w:val="left"/>
      <w:pPr>
        <w:ind w:left="1440" w:hanging="360"/>
      </w:pPr>
    </w:lvl>
    <w:lvl w:ilvl="2" w:tplc="3D7AC39A">
      <w:start w:val="1"/>
      <w:numFmt w:val="lowerRoman"/>
      <w:lvlText w:val="%3."/>
      <w:lvlJc w:val="right"/>
      <w:pPr>
        <w:ind w:left="2160" w:hanging="180"/>
      </w:pPr>
    </w:lvl>
    <w:lvl w:ilvl="3" w:tplc="63A29676">
      <w:start w:val="1"/>
      <w:numFmt w:val="decimal"/>
      <w:lvlText w:val="%4."/>
      <w:lvlJc w:val="left"/>
      <w:pPr>
        <w:ind w:left="2880" w:hanging="360"/>
      </w:pPr>
    </w:lvl>
    <w:lvl w:ilvl="4" w:tplc="A09ACA52">
      <w:start w:val="1"/>
      <w:numFmt w:val="lowerLetter"/>
      <w:lvlText w:val="%5."/>
      <w:lvlJc w:val="left"/>
      <w:pPr>
        <w:ind w:left="3600" w:hanging="360"/>
      </w:pPr>
    </w:lvl>
    <w:lvl w:ilvl="5" w:tplc="50BE1990">
      <w:start w:val="1"/>
      <w:numFmt w:val="lowerRoman"/>
      <w:lvlText w:val="%6."/>
      <w:lvlJc w:val="right"/>
      <w:pPr>
        <w:ind w:left="4320" w:hanging="180"/>
      </w:pPr>
    </w:lvl>
    <w:lvl w:ilvl="6" w:tplc="0A0E2D2A">
      <w:start w:val="1"/>
      <w:numFmt w:val="decimal"/>
      <w:lvlText w:val="%7."/>
      <w:lvlJc w:val="left"/>
      <w:pPr>
        <w:ind w:left="5040" w:hanging="360"/>
      </w:pPr>
    </w:lvl>
    <w:lvl w:ilvl="7" w:tplc="0CB28C96">
      <w:start w:val="1"/>
      <w:numFmt w:val="lowerLetter"/>
      <w:lvlText w:val="%8."/>
      <w:lvlJc w:val="left"/>
      <w:pPr>
        <w:ind w:left="5760" w:hanging="360"/>
      </w:pPr>
    </w:lvl>
    <w:lvl w:ilvl="8" w:tplc="D196F774">
      <w:start w:val="1"/>
      <w:numFmt w:val="lowerRoman"/>
      <w:lvlText w:val="%9."/>
      <w:lvlJc w:val="right"/>
      <w:pPr>
        <w:ind w:left="6480" w:hanging="180"/>
      </w:pPr>
    </w:lvl>
  </w:abstractNum>
  <w:abstractNum w:abstractNumId="28" w15:restartNumberingAfterBreak="0">
    <w:nsid w:val="789E1FAA"/>
    <w:multiLevelType w:val="hybridMultilevel"/>
    <w:tmpl w:val="DF1CCC2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9" w15:restartNumberingAfterBreak="0">
    <w:nsid w:val="78FB071A"/>
    <w:multiLevelType w:val="hybridMultilevel"/>
    <w:tmpl w:val="5BC069A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15:restartNumberingAfterBreak="0">
    <w:nsid w:val="7957EBCA"/>
    <w:multiLevelType w:val="hybridMultilevel"/>
    <w:tmpl w:val="FFFFFFFF"/>
    <w:lvl w:ilvl="0" w:tplc="E8A49BEC">
      <w:start w:val="1"/>
      <w:numFmt w:val="decimal"/>
      <w:lvlText w:val="%1."/>
      <w:lvlJc w:val="left"/>
      <w:pPr>
        <w:ind w:left="360" w:hanging="360"/>
      </w:pPr>
    </w:lvl>
    <w:lvl w:ilvl="1" w:tplc="2F7859EE">
      <w:start w:val="1"/>
      <w:numFmt w:val="lowerLetter"/>
      <w:lvlText w:val="%2."/>
      <w:lvlJc w:val="left"/>
      <w:pPr>
        <w:ind w:left="1080" w:hanging="360"/>
      </w:pPr>
    </w:lvl>
    <w:lvl w:ilvl="2" w:tplc="768C36E8">
      <w:start w:val="1"/>
      <w:numFmt w:val="lowerRoman"/>
      <w:lvlText w:val="%3."/>
      <w:lvlJc w:val="right"/>
      <w:pPr>
        <w:ind w:left="1800" w:hanging="180"/>
      </w:pPr>
    </w:lvl>
    <w:lvl w:ilvl="3" w:tplc="C91CB098">
      <w:start w:val="1"/>
      <w:numFmt w:val="decimal"/>
      <w:lvlText w:val="%4."/>
      <w:lvlJc w:val="left"/>
      <w:pPr>
        <w:ind w:left="2520" w:hanging="360"/>
      </w:pPr>
    </w:lvl>
    <w:lvl w:ilvl="4" w:tplc="656C6D5C">
      <w:start w:val="1"/>
      <w:numFmt w:val="lowerLetter"/>
      <w:lvlText w:val="%5."/>
      <w:lvlJc w:val="left"/>
      <w:pPr>
        <w:ind w:left="3240" w:hanging="360"/>
      </w:pPr>
    </w:lvl>
    <w:lvl w:ilvl="5" w:tplc="F2FA10FE">
      <w:start w:val="1"/>
      <w:numFmt w:val="lowerRoman"/>
      <w:lvlText w:val="%6."/>
      <w:lvlJc w:val="right"/>
      <w:pPr>
        <w:ind w:left="3960" w:hanging="180"/>
      </w:pPr>
    </w:lvl>
    <w:lvl w:ilvl="6" w:tplc="2CDA2E4E">
      <w:start w:val="1"/>
      <w:numFmt w:val="decimal"/>
      <w:lvlText w:val="%7."/>
      <w:lvlJc w:val="left"/>
      <w:pPr>
        <w:ind w:left="4680" w:hanging="360"/>
      </w:pPr>
    </w:lvl>
    <w:lvl w:ilvl="7" w:tplc="CA9E86FA">
      <w:start w:val="1"/>
      <w:numFmt w:val="lowerLetter"/>
      <w:lvlText w:val="%8."/>
      <w:lvlJc w:val="left"/>
      <w:pPr>
        <w:ind w:left="5400" w:hanging="360"/>
      </w:pPr>
    </w:lvl>
    <w:lvl w:ilvl="8" w:tplc="AA0E68B6">
      <w:start w:val="1"/>
      <w:numFmt w:val="lowerRoman"/>
      <w:lvlText w:val="%9."/>
      <w:lvlJc w:val="right"/>
      <w:pPr>
        <w:ind w:left="6120" w:hanging="180"/>
      </w:pPr>
    </w:lvl>
  </w:abstractNum>
  <w:abstractNum w:abstractNumId="31" w15:restartNumberingAfterBreak="0">
    <w:nsid w:val="7D81BD4B"/>
    <w:multiLevelType w:val="hybridMultilevel"/>
    <w:tmpl w:val="FFFFFFFF"/>
    <w:lvl w:ilvl="0" w:tplc="C6380F2E">
      <w:start w:val="1"/>
      <w:numFmt w:val="bullet"/>
      <w:lvlText w:val=""/>
      <w:lvlJc w:val="left"/>
      <w:pPr>
        <w:ind w:left="720" w:hanging="360"/>
      </w:pPr>
      <w:rPr>
        <w:rFonts w:ascii="Symbol" w:hAnsi="Symbol" w:hint="default"/>
      </w:rPr>
    </w:lvl>
    <w:lvl w:ilvl="1" w:tplc="9CA6235C">
      <w:start w:val="1"/>
      <w:numFmt w:val="bullet"/>
      <w:lvlText w:val="o"/>
      <w:lvlJc w:val="left"/>
      <w:pPr>
        <w:ind w:left="1440" w:hanging="360"/>
      </w:pPr>
      <w:rPr>
        <w:rFonts w:ascii="Courier New" w:hAnsi="Courier New" w:hint="default"/>
      </w:rPr>
    </w:lvl>
    <w:lvl w:ilvl="2" w:tplc="FAECE9F4">
      <w:start w:val="1"/>
      <w:numFmt w:val="bullet"/>
      <w:lvlText w:val=""/>
      <w:lvlJc w:val="left"/>
      <w:pPr>
        <w:ind w:left="2160" w:hanging="360"/>
      </w:pPr>
      <w:rPr>
        <w:rFonts w:ascii="Wingdings" w:hAnsi="Wingdings" w:hint="default"/>
      </w:rPr>
    </w:lvl>
    <w:lvl w:ilvl="3" w:tplc="D930CA04">
      <w:start w:val="1"/>
      <w:numFmt w:val="bullet"/>
      <w:lvlText w:val=""/>
      <w:lvlJc w:val="left"/>
      <w:pPr>
        <w:ind w:left="2880" w:hanging="360"/>
      </w:pPr>
      <w:rPr>
        <w:rFonts w:ascii="Symbol" w:hAnsi="Symbol" w:hint="default"/>
      </w:rPr>
    </w:lvl>
    <w:lvl w:ilvl="4" w:tplc="A1B895C8">
      <w:start w:val="1"/>
      <w:numFmt w:val="bullet"/>
      <w:lvlText w:val="o"/>
      <w:lvlJc w:val="left"/>
      <w:pPr>
        <w:ind w:left="3600" w:hanging="360"/>
      </w:pPr>
      <w:rPr>
        <w:rFonts w:ascii="Courier New" w:hAnsi="Courier New" w:hint="default"/>
      </w:rPr>
    </w:lvl>
    <w:lvl w:ilvl="5" w:tplc="ABFA02F0">
      <w:start w:val="1"/>
      <w:numFmt w:val="bullet"/>
      <w:lvlText w:val=""/>
      <w:lvlJc w:val="left"/>
      <w:pPr>
        <w:ind w:left="4320" w:hanging="360"/>
      </w:pPr>
      <w:rPr>
        <w:rFonts w:ascii="Wingdings" w:hAnsi="Wingdings" w:hint="default"/>
      </w:rPr>
    </w:lvl>
    <w:lvl w:ilvl="6" w:tplc="3234455A">
      <w:start w:val="1"/>
      <w:numFmt w:val="bullet"/>
      <w:lvlText w:val=""/>
      <w:lvlJc w:val="left"/>
      <w:pPr>
        <w:ind w:left="5040" w:hanging="360"/>
      </w:pPr>
      <w:rPr>
        <w:rFonts w:ascii="Symbol" w:hAnsi="Symbol" w:hint="default"/>
      </w:rPr>
    </w:lvl>
    <w:lvl w:ilvl="7" w:tplc="E6607370">
      <w:start w:val="1"/>
      <w:numFmt w:val="bullet"/>
      <w:lvlText w:val="o"/>
      <w:lvlJc w:val="left"/>
      <w:pPr>
        <w:ind w:left="5760" w:hanging="360"/>
      </w:pPr>
      <w:rPr>
        <w:rFonts w:ascii="Courier New" w:hAnsi="Courier New" w:hint="default"/>
      </w:rPr>
    </w:lvl>
    <w:lvl w:ilvl="8" w:tplc="FB7C6F3E">
      <w:start w:val="1"/>
      <w:numFmt w:val="bullet"/>
      <w:lvlText w:val=""/>
      <w:lvlJc w:val="left"/>
      <w:pPr>
        <w:ind w:left="6480" w:hanging="360"/>
      </w:pPr>
      <w:rPr>
        <w:rFonts w:ascii="Wingdings" w:hAnsi="Wingdings" w:hint="default"/>
      </w:rPr>
    </w:lvl>
  </w:abstractNum>
  <w:num w:numId="1" w16cid:durableId="910116898">
    <w:abstractNumId w:val="30"/>
  </w:num>
  <w:num w:numId="2" w16cid:durableId="1303074162">
    <w:abstractNumId w:val="0"/>
  </w:num>
  <w:num w:numId="3" w16cid:durableId="1826121061">
    <w:abstractNumId w:val="31"/>
  </w:num>
  <w:num w:numId="4" w16cid:durableId="884561934">
    <w:abstractNumId w:val="27"/>
  </w:num>
  <w:num w:numId="5" w16cid:durableId="652417148">
    <w:abstractNumId w:val="10"/>
    <w:lvlOverride w:ilvl="0"/>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10784968">
    <w:abstractNumId w:val="2"/>
  </w:num>
  <w:num w:numId="7" w16cid:durableId="1356467438">
    <w:abstractNumId w:val="19"/>
  </w:num>
  <w:num w:numId="8" w16cid:durableId="1132290618">
    <w:abstractNumId w:val="26"/>
  </w:num>
  <w:num w:numId="9" w16cid:durableId="631836609">
    <w:abstractNumId w:val="11"/>
  </w:num>
  <w:num w:numId="10" w16cid:durableId="78796971">
    <w:abstractNumId w:val="21"/>
  </w:num>
  <w:num w:numId="11" w16cid:durableId="1921480483">
    <w:abstractNumId w:val="18"/>
  </w:num>
  <w:num w:numId="12" w16cid:durableId="1373729815">
    <w:abstractNumId w:val="8"/>
  </w:num>
  <w:num w:numId="13" w16cid:durableId="1513179236">
    <w:abstractNumId w:val="16"/>
  </w:num>
  <w:num w:numId="14" w16cid:durableId="1721175238">
    <w:abstractNumId w:val="13"/>
  </w:num>
  <w:num w:numId="15" w16cid:durableId="1029910663">
    <w:abstractNumId w:val="20"/>
  </w:num>
  <w:num w:numId="16" w16cid:durableId="1978216189">
    <w:abstractNumId w:val="15"/>
  </w:num>
  <w:num w:numId="17" w16cid:durableId="1643195877">
    <w:abstractNumId w:val="25"/>
  </w:num>
  <w:num w:numId="18" w16cid:durableId="1884251180">
    <w:abstractNumId w:val="5"/>
  </w:num>
  <w:num w:numId="19" w16cid:durableId="778336572">
    <w:abstractNumId w:val="28"/>
  </w:num>
  <w:num w:numId="20" w16cid:durableId="1028263646">
    <w:abstractNumId w:val="29"/>
  </w:num>
  <w:num w:numId="21" w16cid:durableId="350685809">
    <w:abstractNumId w:val="24"/>
  </w:num>
  <w:num w:numId="22" w16cid:durableId="1993101568">
    <w:abstractNumId w:val="12"/>
  </w:num>
  <w:num w:numId="23" w16cid:durableId="1054698112">
    <w:abstractNumId w:val="6"/>
  </w:num>
  <w:num w:numId="24" w16cid:durableId="289627459">
    <w:abstractNumId w:val="9"/>
  </w:num>
  <w:num w:numId="25" w16cid:durableId="2011830587">
    <w:abstractNumId w:val="21"/>
  </w:num>
  <w:num w:numId="26" w16cid:durableId="468942488">
    <w:abstractNumId w:val="21"/>
  </w:num>
  <w:num w:numId="27" w16cid:durableId="851338720">
    <w:abstractNumId w:val="1"/>
  </w:num>
  <w:num w:numId="28" w16cid:durableId="1438675457">
    <w:abstractNumId w:val="3"/>
  </w:num>
  <w:num w:numId="29" w16cid:durableId="1890144320">
    <w:abstractNumId w:val="22"/>
  </w:num>
  <w:num w:numId="30" w16cid:durableId="703143138">
    <w:abstractNumId w:val="23"/>
  </w:num>
  <w:num w:numId="31" w16cid:durableId="948853970">
    <w:abstractNumId w:val="7"/>
  </w:num>
  <w:num w:numId="32" w16cid:durableId="1418138209">
    <w:abstractNumId w:val="17"/>
  </w:num>
  <w:num w:numId="33" w16cid:durableId="1492603159">
    <w:abstractNumId w:val="4"/>
  </w:num>
  <w:num w:numId="34" w16cid:durableId="216865648">
    <w:abstractNumId w:val="14"/>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revisionView w:markup="0"/>
  <w:defaultTabStop w:val="720"/>
  <w:drawingGridHorizontalSpacing w:val="12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3FDE"/>
    <w:rsid w:val="000022F2"/>
    <w:rsid w:val="00003F14"/>
    <w:rsid w:val="000041E4"/>
    <w:rsid w:val="00004B10"/>
    <w:rsid w:val="00004D84"/>
    <w:rsid w:val="0000549B"/>
    <w:rsid w:val="000056EB"/>
    <w:rsid w:val="000057A1"/>
    <w:rsid w:val="000103D2"/>
    <w:rsid w:val="000128D9"/>
    <w:rsid w:val="00013108"/>
    <w:rsid w:val="00013C50"/>
    <w:rsid w:val="00014052"/>
    <w:rsid w:val="00014672"/>
    <w:rsid w:val="00014EB2"/>
    <w:rsid w:val="000151DD"/>
    <w:rsid w:val="00015A2E"/>
    <w:rsid w:val="0001614F"/>
    <w:rsid w:val="0001655F"/>
    <w:rsid w:val="000169A2"/>
    <w:rsid w:val="00016F8E"/>
    <w:rsid w:val="00017373"/>
    <w:rsid w:val="000174DD"/>
    <w:rsid w:val="00017557"/>
    <w:rsid w:val="00020875"/>
    <w:rsid w:val="00020C60"/>
    <w:rsid w:val="00022006"/>
    <w:rsid w:val="000230B9"/>
    <w:rsid w:val="00024011"/>
    <w:rsid w:val="00024B87"/>
    <w:rsid w:val="000251BF"/>
    <w:rsid w:val="00026C0B"/>
    <w:rsid w:val="0003084D"/>
    <w:rsid w:val="000310D2"/>
    <w:rsid w:val="000316C3"/>
    <w:rsid w:val="00031BE2"/>
    <w:rsid w:val="000322C4"/>
    <w:rsid w:val="00032C39"/>
    <w:rsid w:val="00032D9D"/>
    <w:rsid w:val="00034F76"/>
    <w:rsid w:val="00039580"/>
    <w:rsid w:val="00040A77"/>
    <w:rsid w:val="00044911"/>
    <w:rsid w:val="0004498C"/>
    <w:rsid w:val="00044EA2"/>
    <w:rsid w:val="0004546E"/>
    <w:rsid w:val="00045494"/>
    <w:rsid w:val="0004558D"/>
    <w:rsid w:val="0004597C"/>
    <w:rsid w:val="00046623"/>
    <w:rsid w:val="0004751D"/>
    <w:rsid w:val="00047652"/>
    <w:rsid w:val="00047C55"/>
    <w:rsid w:val="00052AA2"/>
    <w:rsid w:val="00052FE2"/>
    <w:rsid w:val="000540A1"/>
    <w:rsid w:val="000545BF"/>
    <w:rsid w:val="000551AA"/>
    <w:rsid w:val="000558AF"/>
    <w:rsid w:val="00055A41"/>
    <w:rsid w:val="00055B64"/>
    <w:rsid w:val="00055EE9"/>
    <w:rsid w:val="000561A2"/>
    <w:rsid w:val="00056FBE"/>
    <w:rsid w:val="000570B6"/>
    <w:rsid w:val="00057DD6"/>
    <w:rsid w:val="00057E58"/>
    <w:rsid w:val="00061A8A"/>
    <w:rsid w:val="0006261E"/>
    <w:rsid w:val="000655A9"/>
    <w:rsid w:val="0006599F"/>
    <w:rsid w:val="00065E51"/>
    <w:rsid w:val="0006605D"/>
    <w:rsid w:val="00070EC8"/>
    <w:rsid w:val="00071D13"/>
    <w:rsid w:val="00071EEB"/>
    <w:rsid w:val="00072436"/>
    <w:rsid w:val="00072B19"/>
    <w:rsid w:val="000731FF"/>
    <w:rsid w:val="000734E2"/>
    <w:rsid w:val="000740D6"/>
    <w:rsid w:val="000740FA"/>
    <w:rsid w:val="0007687A"/>
    <w:rsid w:val="00080399"/>
    <w:rsid w:val="00080DBB"/>
    <w:rsid w:val="00082941"/>
    <w:rsid w:val="00082BFE"/>
    <w:rsid w:val="000838AF"/>
    <w:rsid w:val="00083C76"/>
    <w:rsid w:val="000840CE"/>
    <w:rsid w:val="0008440A"/>
    <w:rsid w:val="000845D6"/>
    <w:rsid w:val="000846B3"/>
    <w:rsid w:val="00084CD2"/>
    <w:rsid w:val="00087D03"/>
    <w:rsid w:val="00087DC3"/>
    <w:rsid w:val="000917AF"/>
    <w:rsid w:val="00092FED"/>
    <w:rsid w:val="000943EA"/>
    <w:rsid w:val="000947B2"/>
    <w:rsid w:val="0009496E"/>
    <w:rsid w:val="00094F0E"/>
    <w:rsid w:val="0009510C"/>
    <w:rsid w:val="000968C5"/>
    <w:rsid w:val="000978EB"/>
    <w:rsid w:val="000A18BD"/>
    <w:rsid w:val="000A2435"/>
    <w:rsid w:val="000A36DF"/>
    <w:rsid w:val="000A383E"/>
    <w:rsid w:val="000A3CF6"/>
    <w:rsid w:val="000A5BCE"/>
    <w:rsid w:val="000A5C57"/>
    <w:rsid w:val="000A6124"/>
    <w:rsid w:val="000A63E0"/>
    <w:rsid w:val="000A6554"/>
    <w:rsid w:val="000A6BC1"/>
    <w:rsid w:val="000A7ADE"/>
    <w:rsid w:val="000A7D6C"/>
    <w:rsid w:val="000A7FDF"/>
    <w:rsid w:val="000B0CD3"/>
    <w:rsid w:val="000B1B4A"/>
    <w:rsid w:val="000B452B"/>
    <w:rsid w:val="000B49EF"/>
    <w:rsid w:val="000B4C96"/>
    <w:rsid w:val="000B52CE"/>
    <w:rsid w:val="000B6D29"/>
    <w:rsid w:val="000B6F2F"/>
    <w:rsid w:val="000B7298"/>
    <w:rsid w:val="000B79D2"/>
    <w:rsid w:val="000C1043"/>
    <w:rsid w:val="000C10BD"/>
    <w:rsid w:val="000C32CD"/>
    <w:rsid w:val="000C349E"/>
    <w:rsid w:val="000C3F1F"/>
    <w:rsid w:val="000C4CA7"/>
    <w:rsid w:val="000C55B7"/>
    <w:rsid w:val="000C6A07"/>
    <w:rsid w:val="000C7289"/>
    <w:rsid w:val="000D0483"/>
    <w:rsid w:val="000D0740"/>
    <w:rsid w:val="000D0844"/>
    <w:rsid w:val="000D11DF"/>
    <w:rsid w:val="000D1F8B"/>
    <w:rsid w:val="000D2D8D"/>
    <w:rsid w:val="000D39CF"/>
    <w:rsid w:val="000D3AE2"/>
    <w:rsid w:val="000D4F43"/>
    <w:rsid w:val="000D4FDE"/>
    <w:rsid w:val="000D6FAB"/>
    <w:rsid w:val="000E0A15"/>
    <w:rsid w:val="000E179E"/>
    <w:rsid w:val="000E19C4"/>
    <w:rsid w:val="000E24A8"/>
    <w:rsid w:val="000E41C6"/>
    <w:rsid w:val="000E7018"/>
    <w:rsid w:val="000E74FE"/>
    <w:rsid w:val="000E7F09"/>
    <w:rsid w:val="000F1CF9"/>
    <w:rsid w:val="000F44B2"/>
    <w:rsid w:val="000F5481"/>
    <w:rsid w:val="000F659E"/>
    <w:rsid w:val="000F7820"/>
    <w:rsid w:val="001039AB"/>
    <w:rsid w:val="00104C6A"/>
    <w:rsid w:val="00107371"/>
    <w:rsid w:val="00107B49"/>
    <w:rsid w:val="00110886"/>
    <w:rsid w:val="00110F97"/>
    <w:rsid w:val="0011104D"/>
    <w:rsid w:val="0011141A"/>
    <w:rsid w:val="00111443"/>
    <w:rsid w:val="00111AB1"/>
    <w:rsid w:val="00111B13"/>
    <w:rsid w:val="00112BDA"/>
    <w:rsid w:val="00113F1A"/>
    <w:rsid w:val="001145D7"/>
    <w:rsid w:val="00114845"/>
    <w:rsid w:val="0011722E"/>
    <w:rsid w:val="001173C4"/>
    <w:rsid w:val="00117B8A"/>
    <w:rsid w:val="00120321"/>
    <w:rsid w:val="0012115D"/>
    <w:rsid w:val="00122E90"/>
    <w:rsid w:val="0012383A"/>
    <w:rsid w:val="00124A0E"/>
    <w:rsid w:val="00124C41"/>
    <w:rsid w:val="0012575C"/>
    <w:rsid w:val="00130600"/>
    <w:rsid w:val="00131916"/>
    <w:rsid w:val="00131EE2"/>
    <w:rsid w:val="001324B3"/>
    <w:rsid w:val="001326BE"/>
    <w:rsid w:val="00132C77"/>
    <w:rsid w:val="0013369F"/>
    <w:rsid w:val="00133E1A"/>
    <w:rsid w:val="00133F08"/>
    <w:rsid w:val="00134832"/>
    <w:rsid w:val="00135685"/>
    <w:rsid w:val="00136788"/>
    <w:rsid w:val="00136790"/>
    <w:rsid w:val="0013753F"/>
    <w:rsid w:val="00140BBD"/>
    <w:rsid w:val="00143D09"/>
    <w:rsid w:val="00144FFD"/>
    <w:rsid w:val="00145047"/>
    <w:rsid w:val="001464EE"/>
    <w:rsid w:val="0014706D"/>
    <w:rsid w:val="00147CEA"/>
    <w:rsid w:val="00150B5F"/>
    <w:rsid w:val="0015196C"/>
    <w:rsid w:val="00152BAF"/>
    <w:rsid w:val="001536BB"/>
    <w:rsid w:val="00153980"/>
    <w:rsid w:val="00153F38"/>
    <w:rsid w:val="001545DB"/>
    <w:rsid w:val="00154691"/>
    <w:rsid w:val="001550B6"/>
    <w:rsid w:val="00156594"/>
    <w:rsid w:val="00156D24"/>
    <w:rsid w:val="00157223"/>
    <w:rsid w:val="00160015"/>
    <w:rsid w:val="001614A9"/>
    <w:rsid w:val="001614C8"/>
    <w:rsid w:val="0016161F"/>
    <w:rsid w:val="001618B3"/>
    <w:rsid w:val="001623B7"/>
    <w:rsid w:val="00163606"/>
    <w:rsid w:val="00164F3E"/>
    <w:rsid w:val="00165A74"/>
    <w:rsid w:val="00167380"/>
    <w:rsid w:val="001677E7"/>
    <w:rsid w:val="001707F8"/>
    <w:rsid w:val="001729AD"/>
    <w:rsid w:val="001778E8"/>
    <w:rsid w:val="001838D0"/>
    <w:rsid w:val="001841B3"/>
    <w:rsid w:val="00184CA6"/>
    <w:rsid w:val="00185537"/>
    <w:rsid w:val="00186729"/>
    <w:rsid w:val="0018699D"/>
    <w:rsid w:val="00187DA6"/>
    <w:rsid w:val="00187FED"/>
    <w:rsid w:val="0019085E"/>
    <w:rsid w:val="00192159"/>
    <w:rsid w:val="0019256B"/>
    <w:rsid w:val="001936A8"/>
    <w:rsid w:val="00193778"/>
    <w:rsid w:val="001944BA"/>
    <w:rsid w:val="001946F6"/>
    <w:rsid w:val="00194A92"/>
    <w:rsid w:val="00196507"/>
    <w:rsid w:val="0019684C"/>
    <w:rsid w:val="00196BBD"/>
    <w:rsid w:val="00197439"/>
    <w:rsid w:val="001A1511"/>
    <w:rsid w:val="001A1730"/>
    <w:rsid w:val="001A1736"/>
    <w:rsid w:val="001A2D0D"/>
    <w:rsid w:val="001A2FCA"/>
    <w:rsid w:val="001A37E9"/>
    <w:rsid w:val="001A3A18"/>
    <w:rsid w:val="001A3F0A"/>
    <w:rsid w:val="001A493F"/>
    <w:rsid w:val="001A563D"/>
    <w:rsid w:val="001A6105"/>
    <w:rsid w:val="001A6C78"/>
    <w:rsid w:val="001A7BE0"/>
    <w:rsid w:val="001A7C08"/>
    <w:rsid w:val="001B059D"/>
    <w:rsid w:val="001B2B79"/>
    <w:rsid w:val="001B3164"/>
    <w:rsid w:val="001B3319"/>
    <w:rsid w:val="001B3CD8"/>
    <w:rsid w:val="001B41B6"/>
    <w:rsid w:val="001B49EE"/>
    <w:rsid w:val="001B4DA2"/>
    <w:rsid w:val="001B521E"/>
    <w:rsid w:val="001B56CE"/>
    <w:rsid w:val="001B5D36"/>
    <w:rsid w:val="001B6D1F"/>
    <w:rsid w:val="001B73E7"/>
    <w:rsid w:val="001B7EF2"/>
    <w:rsid w:val="001C044A"/>
    <w:rsid w:val="001C28E9"/>
    <w:rsid w:val="001C3BB9"/>
    <w:rsid w:val="001C3FA1"/>
    <w:rsid w:val="001C40E2"/>
    <w:rsid w:val="001C60B1"/>
    <w:rsid w:val="001C6259"/>
    <w:rsid w:val="001C6261"/>
    <w:rsid w:val="001C6C60"/>
    <w:rsid w:val="001C73E6"/>
    <w:rsid w:val="001D0589"/>
    <w:rsid w:val="001D0C07"/>
    <w:rsid w:val="001D14E0"/>
    <w:rsid w:val="001D1ED3"/>
    <w:rsid w:val="001D2133"/>
    <w:rsid w:val="001D273C"/>
    <w:rsid w:val="001D6401"/>
    <w:rsid w:val="001D67DB"/>
    <w:rsid w:val="001D6D39"/>
    <w:rsid w:val="001D6FB8"/>
    <w:rsid w:val="001E0A49"/>
    <w:rsid w:val="001E232E"/>
    <w:rsid w:val="001E2466"/>
    <w:rsid w:val="001E2990"/>
    <w:rsid w:val="001E5B3A"/>
    <w:rsid w:val="001E672F"/>
    <w:rsid w:val="001E6A67"/>
    <w:rsid w:val="001E6A8F"/>
    <w:rsid w:val="001E7537"/>
    <w:rsid w:val="001E7784"/>
    <w:rsid w:val="001F03A3"/>
    <w:rsid w:val="001F0465"/>
    <w:rsid w:val="001F295B"/>
    <w:rsid w:val="001F2F0E"/>
    <w:rsid w:val="001F3054"/>
    <w:rsid w:val="001F3473"/>
    <w:rsid w:val="001F3C00"/>
    <w:rsid w:val="001F4048"/>
    <w:rsid w:val="001F4498"/>
    <w:rsid w:val="001F48E0"/>
    <w:rsid w:val="001F5A53"/>
    <w:rsid w:val="001F5C6C"/>
    <w:rsid w:val="001F6B30"/>
    <w:rsid w:val="001F7E7C"/>
    <w:rsid w:val="00200D4F"/>
    <w:rsid w:val="0020203C"/>
    <w:rsid w:val="00202D52"/>
    <w:rsid w:val="00202FA1"/>
    <w:rsid w:val="00204DBA"/>
    <w:rsid w:val="00204EED"/>
    <w:rsid w:val="00206A95"/>
    <w:rsid w:val="00206FE7"/>
    <w:rsid w:val="00210591"/>
    <w:rsid w:val="002120C6"/>
    <w:rsid w:val="00212BEC"/>
    <w:rsid w:val="00212D54"/>
    <w:rsid w:val="00212F30"/>
    <w:rsid w:val="002135F0"/>
    <w:rsid w:val="00213D7D"/>
    <w:rsid w:val="00214059"/>
    <w:rsid w:val="00215240"/>
    <w:rsid w:val="00215465"/>
    <w:rsid w:val="0021638E"/>
    <w:rsid w:val="00216CEF"/>
    <w:rsid w:val="0022041F"/>
    <w:rsid w:val="00220CCC"/>
    <w:rsid w:val="002224CC"/>
    <w:rsid w:val="0022395D"/>
    <w:rsid w:val="002251B0"/>
    <w:rsid w:val="002252F1"/>
    <w:rsid w:val="00226EEB"/>
    <w:rsid w:val="0022738D"/>
    <w:rsid w:val="00227CB6"/>
    <w:rsid w:val="0023058E"/>
    <w:rsid w:val="00231129"/>
    <w:rsid w:val="002344DA"/>
    <w:rsid w:val="00234638"/>
    <w:rsid w:val="0023478F"/>
    <w:rsid w:val="00234A06"/>
    <w:rsid w:val="00235327"/>
    <w:rsid w:val="00236EFB"/>
    <w:rsid w:val="00240243"/>
    <w:rsid w:val="00242CD7"/>
    <w:rsid w:val="0024333D"/>
    <w:rsid w:val="00243B5A"/>
    <w:rsid w:val="002444F3"/>
    <w:rsid w:val="002466F5"/>
    <w:rsid w:val="00246CE8"/>
    <w:rsid w:val="00246E0D"/>
    <w:rsid w:val="00247199"/>
    <w:rsid w:val="002471C5"/>
    <w:rsid w:val="0024740C"/>
    <w:rsid w:val="0024BABD"/>
    <w:rsid w:val="00250FF6"/>
    <w:rsid w:val="00252621"/>
    <w:rsid w:val="002526A7"/>
    <w:rsid w:val="002527B3"/>
    <w:rsid w:val="00252FFA"/>
    <w:rsid w:val="00254808"/>
    <w:rsid w:val="00255E3F"/>
    <w:rsid w:val="0025730A"/>
    <w:rsid w:val="0026069E"/>
    <w:rsid w:val="002614B5"/>
    <w:rsid w:val="00262443"/>
    <w:rsid w:val="002642EE"/>
    <w:rsid w:val="0026503F"/>
    <w:rsid w:val="0026561F"/>
    <w:rsid w:val="00265642"/>
    <w:rsid w:val="002701A1"/>
    <w:rsid w:val="0027030C"/>
    <w:rsid w:val="00273096"/>
    <w:rsid w:val="00275CC6"/>
    <w:rsid w:val="00276566"/>
    <w:rsid w:val="00277A25"/>
    <w:rsid w:val="00283233"/>
    <w:rsid w:val="002835CC"/>
    <w:rsid w:val="0028453B"/>
    <w:rsid w:val="002853F2"/>
    <w:rsid w:val="002859EB"/>
    <w:rsid w:val="00285A14"/>
    <w:rsid w:val="00287B9B"/>
    <w:rsid w:val="00290563"/>
    <w:rsid w:val="002916F6"/>
    <w:rsid w:val="0029204A"/>
    <w:rsid w:val="0029239E"/>
    <w:rsid w:val="00293EA6"/>
    <w:rsid w:val="0029462F"/>
    <w:rsid w:val="0029485A"/>
    <w:rsid w:val="00294C06"/>
    <w:rsid w:val="00295B8A"/>
    <w:rsid w:val="002968A1"/>
    <w:rsid w:val="002977C6"/>
    <w:rsid w:val="002A0090"/>
    <w:rsid w:val="002A173B"/>
    <w:rsid w:val="002A23DA"/>
    <w:rsid w:val="002A26A5"/>
    <w:rsid w:val="002A26B3"/>
    <w:rsid w:val="002A286D"/>
    <w:rsid w:val="002A382A"/>
    <w:rsid w:val="002A39A2"/>
    <w:rsid w:val="002A79FF"/>
    <w:rsid w:val="002B064C"/>
    <w:rsid w:val="002B088A"/>
    <w:rsid w:val="002B11CE"/>
    <w:rsid w:val="002B16AB"/>
    <w:rsid w:val="002B1DBA"/>
    <w:rsid w:val="002B26F4"/>
    <w:rsid w:val="002B34C1"/>
    <w:rsid w:val="002B353C"/>
    <w:rsid w:val="002B3BD9"/>
    <w:rsid w:val="002B4533"/>
    <w:rsid w:val="002B55DC"/>
    <w:rsid w:val="002B63B5"/>
    <w:rsid w:val="002B6C50"/>
    <w:rsid w:val="002B7BB5"/>
    <w:rsid w:val="002B7D25"/>
    <w:rsid w:val="002C0E0B"/>
    <w:rsid w:val="002C23F2"/>
    <w:rsid w:val="002C26CF"/>
    <w:rsid w:val="002C33AE"/>
    <w:rsid w:val="002C3706"/>
    <w:rsid w:val="002C4379"/>
    <w:rsid w:val="002C4A70"/>
    <w:rsid w:val="002C5115"/>
    <w:rsid w:val="002C6C7B"/>
    <w:rsid w:val="002C75E0"/>
    <w:rsid w:val="002D2357"/>
    <w:rsid w:val="002D2B7D"/>
    <w:rsid w:val="002D31B1"/>
    <w:rsid w:val="002D3F75"/>
    <w:rsid w:val="002D4F3A"/>
    <w:rsid w:val="002D5D04"/>
    <w:rsid w:val="002D6D2C"/>
    <w:rsid w:val="002D6E09"/>
    <w:rsid w:val="002D6F92"/>
    <w:rsid w:val="002D6FEC"/>
    <w:rsid w:val="002D73FC"/>
    <w:rsid w:val="002D76E3"/>
    <w:rsid w:val="002D7DC7"/>
    <w:rsid w:val="002E088A"/>
    <w:rsid w:val="002E1345"/>
    <w:rsid w:val="002E2079"/>
    <w:rsid w:val="002E36B5"/>
    <w:rsid w:val="002E372D"/>
    <w:rsid w:val="002E3F2A"/>
    <w:rsid w:val="002E4FB9"/>
    <w:rsid w:val="002E5301"/>
    <w:rsid w:val="002E58DD"/>
    <w:rsid w:val="002E5FFB"/>
    <w:rsid w:val="002E6EA8"/>
    <w:rsid w:val="002F08D4"/>
    <w:rsid w:val="002F09E8"/>
    <w:rsid w:val="002F2427"/>
    <w:rsid w:val="002F3992"/>
    <w:rsid w:val="002F3EF8"/>
    <w:rsid w:val="002F6FD6"/>
    <w:rsid w:val="002F72CC"/>
    <w:rsid w:val="002F742C"/>
    <w:rsid w:val="0030038B"/>
    <w:rsid w:val="003003CE"/>
    <w:rsid w:val="00300E78"/>
    <w:rsid w:val="00300EA0"/>
    <w:rsid w:val="00300F04"/>
    <w:rsid w:val="00303869"/>
    <w:rsid w:val="003041B4"/>
    <w:rsid w:val="00304DE7"/>
    <w:rsid w:val="0030645D"/>
    <w:rsid w:val="00307EA3"/>
    <w:rsid w:val="0031128F"/>
    <w:rsid w:val="0031215C"/>
    <w:rsid w:val="003128BD"/>
    <w:rsid w:val="003131A2"/>
    <w:rsid w:val="00313F6E"/>
    <w:rsid w:val="00313FDE"/>
    <w:rsid w:val="003141E9"/>
    <w:rsid w:val="00316151"/>
    <w:rsid w:val="003166E0"/>
    <w:rsid w:val="00316C1D"/>
    <w:rsid w:val="00317281"/>
    <w:rsid w:val="0031765D"/>
    <w:rsid w:val="00320D23"/>
    <w:rsid w:val="00321934"/>
    <w:rsid w:val="00321B34"/>
    <w:rsid w:val="00322C4F"/>
    <w:rsid w:val="0032365E"/>
    <w:rsid w:val="00323936"/>
    <w:rsid w:val="00323AAE"/>
    <w:rsid w:val="00323E7F"/>
    <w:rsid w:val="0032440B"/>
    <w:rsid w:val="00325AA2"/>
    <w:rsid w:val="00327FDD"/>
    <w:rsid w:val="003302F0"/>
    <w:rsid w:val="003304F6"/>
    <w:rsid w:val="003337BD"/>
    <w:rsid w:val="00333A27"/>
    <w:rsid w:val="00334C93"/>
    <w:rsid w:val="00335DA8"/>
    <w:rsid w:val="003459E6"/>
    <w:rsid w:val="003474C6"/>
    <w:rsid w:val="00350120"/>
    <w:rsid w:val="00352565"/>
    <w:rsid w:val="003525E1"/>
    <w:rsid w:val="003538D6"/>
    <w:rsid w:val="00353AE7"/>
    <w:rsid w:val="00354B78"/>
    <w:rsid w:val="00355EFE"/>
    <w:rsid w:val="00356EE5"/>
    <w:rsid w:val="00357632"/>
    <w:rsid w:val="003578AF"/>
    <w:rsid w:val="00360A8C"/>
    <w:rsid w:val="003656D4"/>
    <w:rsid w:val="00370AA1"/>
    <w:rsid w:val="00370E3B"/>
    <w:rsid w:val="00371DE9"/>
    <w:rsid w:val="00371F99"/>
    <w:rsid w:val="00372D6C"/>
    <w:rsid w:val="00373714"/>
    <w:rsid w:val="00373FEB"/>
    <w:rsid w:val="00374702"/>
    <w:rsid w:val="00375CEE"/>
    <w:rsid w:val="00380259"/>
    <w:rsid w:val="0038186E"/>
    <w:rsid w:val="003835D2"/>
    <w:rsid w:val="003845A2"/>
    <w:rsid w:val="00385B22"/>
    <w:rsid w:val="00385B6C"/>
    <w:rsid w:val="00385FE1"/>
    <w:rsid w:val="00387226"/>
    <w:rsid w:val="003872F4"/>
    <w:rsid w:val="00387706"/>
    <w:rsid w:val="003877B1"/>
    <w:rsid w:val="00387858"/>
    <w:rsid w:val="00387932"/>
    <w:rsid w:val="00387EF0"/>
    <w:rsid w:val="003908D0"/>
    <w:rsid w:val="00391535"/>
    <w:rsid w:val="0039202D"/>
    <w:rsid w:val="00392103"/>
    <w:rsid w:val="00395CDE"/>
    <w:rsid w:val="00396EC2"/>
    <w:rsid w:val="003A0231"/>
    <w:rsid w:val="003A17B8"/>
    <w:rsid w:val="003A2F06"/>
    <w:rsid w:val="003A430A"/>
    <w:rsid w:val="003A48E2"/>
    <w:rsid w:val="003A520B"/>
    <w:rsid w:val="003A6747"/>
    <w:rsid w:val="003A77FE"/>
    <w:rsid w:val="003A7A0D"/>
    <w:rsid w:val="003A7CD0"/>
    <w:rsid w:val="003B021C"/>
    <w:rsid w:val="003B0914"/>
    <w:rsid w:val="003B0BED"/>
    <w:rsid w:val="003B254E"/>
    <w:rsid w:val="003B30B7"/>
    <w:rsid w:val="003B4621"/>
    <w:rsid w:val="003B49F2"/>
    <w:rsid w:val="003B5079"/>
    <w:rsid w:val="003B50FC"/>
    <w:rsid w:val="003B5436"/>
    <w:rsid w:val="003B74E4"/>
    <w:rsid w:val="003BCD68"/>
    <w:rsid w:val="003C065F"/>
    <w:rsid w:val="003C182D"/>
    <w:rsid w:val="003C2422"/>
    <w:rsid w:val="003C297F"/>
    <w:rsid w:val="003C3297"/>
    <w:rsid w:val="003C4398"/>
    <w:rsid w:val="003C7FC2"/>
    <w:rsid w:val="003D0C55"/>
    <w:rsid w:val="003D0F36"/>
    <w:rsid w:val="003D25AD"/>
    <w:rsid w:val="003D30CE"/>
    <w:rsid w:val="003D337C"/>
    <w:rsid w:val="003D436A"/>
    <w:rsid w:val="003D501A"/>
    <w:rsid w:val="003D5245"/>
    <w:rsid w:val="003D54FA"/>
    <w:rsid w:val="003D72C6"/>
    <w:rsid w:val="003D7521"/>
    <w:rsid w:val="003E0096"/>
    <w:rsid w:val="003E11AD"/>
    <w:rsid w:val="003E13F4"/>
    <w:rsid w:val="003E27FF"/>
    <w:rsid w:val="003E4357"/>
    <w:rsid w:val="003E4FC1"/>
    <w:rsid w:val="003E6D88"/>
    <w:rsid w:val="003E725A"/>
    <w:rsid w:val="003F10EE"/>
    <w:rsid w:val="003F50D8"/>
    <w:rsid w:val="003F5309"/>
    <w:rsid w:val="003F587E"/>
    <w:rsid w:val="003F618C"/>
    <w:rsid w:val="003F61B6"/>
    <w:rsid w:val="003F6DFE"/>
    <w:rsid w:val="003F755E"/>
    <w:rsid w:val="003F75DE"/>
    <w:rsid w:val="00400572"/>
    <w:rsid w:val="00400925"/>
    <w:rsid w:val="004016E8"/>
    <w:rsid w:val="00402593"/>
    <w:rsid w:val="00402B11"/>
    <w:rsid w:val="004039CB"/>
    <w:rsid w:val="00404562"/>
    <w:rsid w:val="00404AF3"/>
    <w:rsid w:val="00406EBA"/>
    <w:rsid w:val="00407B0C"/>
    <w:rsid w:val="00410A9F"/>
    <w:rsid w:val="00410AC7"/>
    <w:rsid w:val="0041105F"/>
    <w:rsid w:val="00411801"/>
    <w:rsid w:val="00416240"/>
    <w:rsid w:val="004162ED"/>
    <w:rsid w:val="00416FD0"/>
    <w:rsid w:val="00421B61"/>
    <w:rsid w:val="004230B2"/>
    <w:rsid w:val="00423530"/>
    <w:rsid w:val="00424A3A"/>
    <w:rsid w:val="00424A5A"/>
    <w:rsid w:val="00426082"/>
    <w:rsid w:val="00426481"/>
    <w:rsid w:val="0042688E"/>
    <w:rsid w:val="0042694B"/>
    <w:rsid w:val="004303B4"/>
    <w:rsid w:val="004320F8"/>
    <w:rsid w:val="00432A38"/>
    <w:rsid w:val="00433318"/>
    <w:rsid w:val="00433406"/>
    <w:rsid w:val="00433C54"/>
    <w:rsid w:val="004341B1"/>
    <w:rsid w:val="00434DBE"/>
    <w:rsid w:val="00435AD2"/>
    <w:rsid w:val="00437E42"/>
    <w:rsid w:val="004400E3"/>
    <w:rsid w:val="004436AC"/>
    <w:rsid w:val="00445069"/>
    <w:rsid w:val="0044682C"/>
    <w:rsid w:val="00446D5B"/>
    <w:rsid w:val="00450A1A"/>
    <w:rsid w:val="00451B16"/>
    <w:rsid w:val="00451E0C"/>
    <w:rsid w:val="004526C2"/>
    <w:rsid w:val="00452DAF"/>
    <w:rsid w:val="00452E09"/>
    <w:rsid w:val="00453758"/>
    <w:rsid w:val="00453DA8"/>
    <w:rsid w:val="00456B8B"/>
    <w:rsid w:val="004574A1"/>
    <w:rsid w:val="00457501"/>
    <w:rsid w:val="00460C4D"/>
    <w:rsid w:val="004612D5"/>
    <w:rsid w:val="004630BB"/>
    <w:rsid w:val="00463B38"/>
    <w:rsid w:val="00464E82"/>
    <w:rsid w:val="00466155"/>
    <w:rsid w:val="004672C8"/>
    <w:rsid w:val="0046759E"/>
    <w:rsid w:val="004675E6"/>
    <w:rsid w:val="00467FD7"/>
    <w:rsid w:val="0047213A"/>
    <w:rsid w:val="0047219C"/>
    <w:rsid w:val="004721AE"/>
    <w:rsid w:val="00472A11"/>
    <w:rsid w:val="00474AF9"/>
    <w:rsid w:val="0047585F"/>
    <w:rsid w:val="00476546"/>
    <w:rsid w:val="004807BA"/>
    <w:rsid w:val="00482B72"/>
    <w:rsid w:val="00482CB7"/>
    <w:rsid w:val="00483394"/>
    <w:rsid w:val="00483714"/>
    <w:rsid w:val="004838D3"/>
    <w:rsid w:val="00484424"/>
    <w:rsid w:val="00487975"/>
    <w:rsid w:val="00487AE7"/>
    <w:rsid w:val="00487D17"/>
    <w:rsid w:val="00492D65"/>
    <w:rsid w:val="00494823"/>
    <w:rsid w:val="00494F41"/>
    <w:rsid w:val="00495145"/>
    <w:rsid w:val="00495F3F"/>
    <w:rsid w:val="00496580"/>
    <w:rsid w:val="004973B0"/>
    <w:rsid w:val="004974D4"/>
    <w:rsid w:val="004A19B7"/>
    <w:rsid w:val="004A3390"/>
    <w:rsid w:val="004A3FF6"/>
    <w:rsid w:val="004A4C3F"/>
    <w:rsid w:val="004A762F"/>
    <w:rsid w:val="004A7A6F"/>
    <w:rsid w:val="004B0308"/>
    <w:rsid w:val="004B0740"/>
    <w:rsid w:val="004B30AC"/>
    <w:rsid w:val="004B4EDB"/>
    <w:rsid w:val="004B657F"/>
    <w:rsid w:val="004C04D6"/>
    <w:rsid w:val="004C076A"/>
    <w:rsid w:val="004C0A26"/>
    <w:rsid w:val="004C13C4"/>
    <w:rsid w:val="004C13DA"/>
    <w:rsid w:val="004C1B31"/>
    <w:rsid w:val="004C22FC"/>
    <w:rsid w:val="004C2D40"/>
    <w:rsid w:val="004C4051"/>
    <w:rsid w:val="004C444E"/>
    <w:rsid w:val="004C5DF9"/>
    <w:rsid w:val="004C5E98"/>
    <w:rsid w:val="004C63EC"/>
    <w:rsid w:val="004D157F"/>
    <w:rsid w:val="004D3083"/>
    <w:rsid w:val="004D336D"/>
    <w:rsid w:val="004D363E"/>
    <w:rsid w:val="004D3F39"/>
    <w:rsid w:val="004D58E6"/>
    <w:rsid w:val="004D7074"/>
    <w:rsid w:val="004E0911"/>
    <w:rsid w:val="004E1061"/>
    <w:rsid w:val="004E37C0"/>
    <w:rsid w:val="004E4272"/>
    <w:rsid w:val="004E46E7"/>
    <w:rsid w:val="004E5D84"/>
    <w:rsid w:val="004E750B"/>
    <w:rsid w:val="004F0B6B"/>
    <w:rsid w:val="004F1212"/>
    <w:rsid w:val="004F1640"/>
    <w:rsid w:val="004F188E"/>
    <w:rsid w:val="004F28B2"/>
    <w:rsid w:val="004F3E1B"/>
    <w:rsid w:val="004F44F6"/>
    <w:rsid w:val="004F60D5"/>
    <w:rsid w:val="004F6328"/>
    <w:rsid w:val="004F70C8"/>
    <w:rsid w:val="0050135B"/>
    <w:rsid w:val="00502F04"/>
    <w:rsid w:val="0050409C"/>
    <w:rsid w:val="00504EC5"/>
    <w:rsid w:val="00507B47"/>
    <w:rsid w:val="00511711"/>
    <w:rsid w:val="005119F8"/>
    <w:rsid w:val="005126D6"/>
    <w:rsid w:val="0051302A"/>
    <w:rsid w:val="00513B8C"/>
    <w:rsid w:val="00514C8E"/>
    <w:rsid w:val="00514F2C"/>
    <w:rsid w:val="005158B0"/>
    <w:rsid w:val="00515A1F"/>
    <w:rsid w:val="00516141"/>
    <w:rsid w:val="00516C26"/>
    <w:rsid w:val="005173AC"/>
    <w:rsid w:val="005175B7"/>
    <w:rsid w:val="00517783"/>
    <w:rsid w:val="00521FB5"/>
    <w:rsid w:val="005220B7"/>
    <w:rsid w:val="005244AC"/>
    <w:rsid w:val="005245C8"/>
    <w:rsid w:val="00525138"/>
    <w:rsid w:val="00525171"/>
    <w:rsid w:val="00526872"/>
    <w:rsid w:val="00526D16"/>
    <w:rsid w:val="005271F0"/>
    <w:rsid w:val="00527A9A"/>
    <w:rsid w:val="00530E21"/>
    <w:rsid w:val="00531A41"/>
    <w:rsid w:val="00531B05"/>
    <w:rsid w:val="00532638"/>
    <w:rsid w:val="0053314E"/>
    <w:rsid w:val="005332DC"/>
    <w:rsid w:val="00535BD2"/>
    <w:rsid w:val="00535F24"/>
    <w:rsid w:val="005363FD"/>
    <w:rsid w:val="00536788"/>
    <w:rsid w:val="005376FD"/>
    <w:rsid w:val="00537DFD"/>
    <w:rsid w:val="005408B5"/>
    <w:rsid w:val="00541F15"/>
    <w:rsid w:val="00543CC7"/>
    <w:rsid w:val="005466BE"/>
    <w:rsid w:val="00546C12"/>
    <w:rsid w:val="00547E2A"/>
    <w:rsid w:val="005507FB"/>
    <w:rsid w:val="00550B78"/>
    <w:rsid w:val="00551A91"/>
    <w:rsid w:val="00551D5F"/>
    <w:rsid w:val="00552374"/>
    <w:rsid w:val="00552DFD"/>
    <w:rsid w:val="00554914"/>
    <w:rsid w:val="0055617A"/>
    <w:rsid w:val="005571A8"/>
    <w:rsid w:val="00557F42"/>
    <w:rsid w:val="00563CC3"/>
    <w:rsid w:val="00564D02"/>
    <w:rsid w:val="00564F4B"/>
    <w:rsid w:val="00566066"/>
    <w:rsid w:val="0056681E"/>
    <w:rsid w:val="00566C44"/>
    <w:rsid w:val="0056737A"/>
    <w:rsid w:val="005676F4"/>
    <w:rsid w:val="00570484"/>
    <w:rsid w:val="00570C04"/>
    <w:rsid w:val="005714A5"/>
    <w:rsid w:val="005715A8"/>
    <w:rsid w:val="00571D9B"/>
    <w:rsid w:val="005721CF"/>
    <w:rsid w:val="005757A5"/>
    <w:rsid w:val="005777F8"/>
    <w:rsid w:val="00580CE8"/>
    <w:rsid w:val="00580DB2"/>
    <w:rsid w:val="005822F6"/>
    <w:rsid w:val="005827DA"/>
    <w:rsid w:val="00583583"/>
    <w:rsid w:val="00583F69"/>
    <w:rsid w:val="00587031"/>
    <w:rsid w:val="00587E63"/>
    <w:rsid w:val="00590902"/>
    <w:rsid w:val="00590D5F"/>
    <w:rsid w:val="0059170D"/>
    <w:rsid w:val="00594CC5"/>
    <w:rsid w:val="00594FF4"/>
    <w:rsid w:val="00596418"/>
    <w:rsid w:val="00596767"/>
    <w:rsid w:val="005A1C2C"/>
    <w:rsid w:val="005A2D21"/>
    <w:rsid w:val="005A323F"/>
    <w:rsid w:val="005A355A"/>
    <w:rsid w:val="005A3614"/>
    <w:rsid w:val="005A431C"/>
    <w:rsid w:val="005A4450"/>
    <w:rsid w:val="005A4583"/>
    <w:rsid w:val="005A5454"/>
    <w:rsid w:val="005A5566"/>
    <w:rsid w:val="005A6266"/>
    <w:rsid w:val="005A6F40"/>
    <w:rsid w:val="005A774B"/>
    <w:rsid w:val="005B10BA"/>
    <w:rsid w:val="005B182F"/>
    <w:rsid w:val="005B55B7"/>
    <w:rsid w:val="005B58A9"/>
    <w:rsid w:val="005B60E0"/>
    <w:rsid w:val="005B6619"/>
    <w:rsid w:val="005B6BBE"/>
    <w:rsid w:val="005C0689"/>
    <w:rsid w:val="005C0E81"/>
    <w:rsid w:val="005C0EA0"/>
    <w:rsid w:val="005C1332"/>
    <w:rsid w:val="005C1F86"/>
    <w:rsid w:val="005C2479"/>
    <w:rsid w:val="005C3499"/>
    <w:rsid w:val="005C3601"/>
    <w:rsid w:val="005C3B97"/>
    <w:rsid w:val="005C4C59"/>
    <w:rsid w:val="005C56E8"/>
    <w:rsid w:val="005C5BBB"/>
    <w:rsid w:val="005C5CDC"/>
    <w:rsid w:val="005C67CC"/>
    <w:rsid w:val="005C6FE5"/>
    <w:rsid w:val="005D05F0"/>
    <w:rsid w:val="005D117C"/>
    <w:rsid w:val="005D11FD"/>
    <w:rsid w:val="005D1A49"/>
    <w:rsid w:val="005D2192"/>
    <w:rsid w:val="005D2DD4"/>
    <w:rsid w:val="005D2F52"/>
    <w:rsid w:val="005D3270"/>
    <w:rsid w:val="005D3498"/>
    <w:rsid w:val="005D354E"/>
    <w:rsid w:val="005D40CA"/>
    <w:rsid w:val="005D43E3"/>
    <w:rsid w:val="005D6F2C"/>
    <w:rsid w:val="005E1F47"/>
    <w:rsid w:val="005E43D2"/>
    <w:rsid w:val="005E4503"/>
    <w:rsid w:val="005E4E65"/>
    <w:rsid w:val="005E5623"/>
    <w:rsid w:val="005E56FA"/>
    <w:rsid w:val="005E5D1D"/>
    <w:rsid w:val="005E6C72"/>
    <w:rsid w:val="005E7369"/>
    <w:rsid w:val="005F0F2A"/>
    <w:rsid w:val="005F1F6A"/>
    <w:rsid w:val="005F361C"/>
    <w:rsid w:val="005F3B2B"/>
    <w:rsid w:val="005F3DC7"/>
    <w:rsid w:val="005F3DCA"/>
    <w:rsid w:val="005F4BA7"/>
    <w:rsid w:val="005F62DF"/>
    <w:rsid w:val="00600C2B"/>
    <w:rsid w:val="00600DAA"/>
    <w:rsid w:val="006014C0"/>
    <w:rsid w:val="00602B14"/>
    <w:rsid w:val="00603775"/>
    <w:rsid w:val="006039D1"/>
    <w:rsid w:val="006042DE"/>
    <w:rsid w:val="006047FC"/>
    <w:rsid w:val="006050DE"/>
    <w:rsid w:val="006054F9"/>
    <w:rsid w:val="00605CF7"/>
    <w:rsid w:val="00605E69"/>
    <w:rsid w:val="00606BB1"/>
    <w:rsid w:val="006072E2"/>
    <w:rsid w:val="006079B6"/>
    <w:rsid w:val="00607BB5"/>
    <w:rsid w:val="00607C47"/>
    <w:rsid w:val="00607D26"/>
    <w:rsid w:val="00610706"/>
    <w:rsid w:val="00611BC8"/>
    <w:rsid w:val="00612FDB"/>
    <w:rsid w:val="00616A8A"/>
    <w:rsid w:val="00616CCE"/>
    <w:rsid w:val="00621824"/>
    <w:rsid w:val="00622BBE"/>
    <w:rsid w:val="006230EB"/>
    <w:rsid w:val="00623143"/>
    <w:rsid w:val="00625E93"/>
    <w:rsid w:val="00626D10"/>
    <w:rsid w:val="00626E0A"/>
    <w:rsid w:val="00627A08"/>
    <w:rsid w:val="006308BA"/>
    <w:rsid w:val="00630997"/>
    <w:rsid w:val="00632C86"/>
    <w:rsid w:val="006337BA"/>
    <w:rsid w:val="00633A7C"/>
    <w:rsid w:val="00634099"/>
    <w:rsid w:val="00634412"/>
    <w:rsid w:val="00635368"/>
    <w:rsid w:val="0063681F"/>
    <w:rsid w:val="00637C05"/>
    <w:rsid w:val="006405CA"/>
    <w:rsid w:val="00640749"/>
    <w:rsid w:val="00641806"/>
    <w:rsid w:val="00643AFB"/>
    <w:rsid w:val="0064566D"/>
    <w:rsid w:val="006457E0"/>
    <w:rsid w:val="006464AC"/>
    <w:rsid w:val="00647382"/>
    <w:rsid w:val="006479BA"/>
    <w:rsid w:val="006508A0"/>
    <w:rsid w:val="00650C71"/>
    <w:rsid w:val="006511AF"/>
    <w:rsid w:val="00651AEE"/>
    <w:rsid w:val="00652152"/>
    <w:rsid w:val="00654471"/>
    <w:rsid w:val="00654582"/>
    <w:rsid w:val="006551D7"/>
    <w:rsid w:val="006552DA"/>
    <w:rsid w:val="00655455"/>
    <w:rsid w:val="0065572D"/>
    <w:rsid w:val="00655CDA"/>
    <w:rsid w:val="00656215"/>
    <w:rsid w:val="00662D36"/>
    <w:rsid w:val="00663E79"/>
    <w:rsid w:val="006643DF"/>
    <w:rsid w:val="00664722"/>
    <w:rsid w:val="00671DDF"/>
    <w:rsid w:val="006734F5"/>
    <w:rsid w:val="00674A56"/>
    <w:rsid w:val="00676D05"/>
    <w:rsid w:val="00676F33"/>
    <w:rsid w:val="00677A09"/>
    <w:rsid w:val="00680D74"/>
    <w:rsid w:val="006826E9"/>
    <w:rsid w:val="00683289"/>
    <w:rsid w:val="00683440"/>
    <w:rsid w:val="0068387A"/>
    <w:rsid w:val="006845BF"/>
    <w:rsid w:val="006858B0"/>
    <w:rsid w:val="0068682F"/>
    <w:rsid w:val="0068740D"/>
    <w:rsid w:val="006876A7"/>
    <w:rsid w:val="006877B4"/>
    <w:rsid w:val="00687BC4"/>
    <w:rsid w:val="00691704"/>
    <w:rsid w:val="00691A8E"/>
    <w:rsid w:val="00691EBC"/>
    <w:rsid w:val="00692447"/>
    <w:rsid w:val="00693FCC"/>
    <w:rsid w:val="006953D6"/>
    <w:rsid w:val="00695B0E"/>
    <w:rsid w:val="00696431"/>
    <w:rsid w:val="006A0BAC"/>
    <w:rsid w:val="006A14C6"/>
    <w:rsid w:val="006A1683"/>
    <w:rsid w:val="006A171F"/>
    <w:rsid w:val="006A29AB"/>
    <w:rsid w:val="006A4647"/>
    <w:rsid w:val="006A5DC9"/>
    <w:rsid w:val="006A7C05"/>
    <w:rsid w:val="006B05E0"/>
    <w:rsid w:val="006B1168"/>
    <w:rsid w:val="006B2ED6"/>
    <w:rsid w:val="006B3D3C"/>
    <w:rsid w:val="006C07D6"/>
    <w:rsid w:val="006C082B"/>
    <w:rsid w:val="006C181F"/>
    <w:rsid w:val="006C2A3E"/>
    <w:rsid w:val="006C2B47"/>
    <w:rsid w:val="006C3BF0"/>
    <w:rsid w:val="006C4352"/>
    <w:rsid w:val="006C454A"/>
    <w:rsid w:val="006C461C"/>
    <w:rsid w:val="006C4681"/>
    <w:rsid w:val="006C6258"/>
    <w:rsid w:val="006C719C"/>
    <w:rsid w:val="006D035D"/>
    <w:rsid w:val="006D06E6"/>
    <w:rsid w:val="006D2665"/>
    <w:rsid w:val="006D41F9"/>
    <w:rsid w:val="006D4B9F"/>
    <w:rsid w:val="006D546E"/>
    <w:rsid w:val="006D5DF4"/>
    <w:rsid w:val="006D77D6"/>
    <w:rsid w:val="006D7BB5"/>
    <w:rsid w:val="006E13C2"/>
    <w:rsid w:val="006E1B4B"/>
    <w:rsid w:val="006E238E"/>
    <w:rsid w:val="006E24E6"/>
    <w:rsid w:val="006E47F4"/>
    <w:rsid w:val="006E662B"/>
    <w:rsid w:val="006E76FA"/>
    <w:rsid w:val="006E7DED"/>
    <w:rsid w:val="006F0D61"/>
    <w:rsid w:val="006F23DE"/>
    <w:rsid w:val="006F31DE"/>
    <w:rsid w:val="006F386D"/>
    <w:rsid w:val="006F3B56"/>
    <w:rsid w:val="006F3EF2"/>
    <w:rsid w:val="006F3F99"/>
    <w:rsid w:val="006F4295"/>
    <w:rsid w:val="006F7028"/>
    <w:rsid w:val="006F70AB"/>
    <w:rsid w:val="006F77D4"/>
    <w:rsid w:val="006F7E0E"/>
    <w:rsid w:val="00700AF0"/>
    <w:rsid w:val="00700D01"/>
    <w:rsid w:val="00701961"/>
    <w:rsid w:val="00707017"/>
    <w:rsid w:val="007119B2"/>
    <w:rsid w:val="00711C39"/>
    <w:rsid w:val="007122CE"/>
    <w:rsid w:val="007158F4"/>
    <w:rsid w:val="0071618F"/>
    <w:rsid w:val="00717FE1"/>
    <w:rsid w:val="00720A6B"/>
    <w:rsid w:val="00720F76"/>
    <w:rsid w:val="00721116"/>
    <w:rsid w:val="00721FF0"/>
    <w:rsid w:val="00722026"/>
    <w:rsid w:val="00723DE4"/>
    <w:rsid w:val="00723DFC"/>
    <w:rsid w:val="00724933"/>
    <w:rsid w:val="00724C3B"/>
    <w:rsid w:val="00724CDD"/>
    <w:rsid w:val="00725DF6"/>
    <w:rsid w:val="007265AD"/>
    <w:rsid w:val="00726A5D"/>
    <w:rsid w:val="00726A9C"/>
    <w:rsid w:val="00726E5C"/>
    <w:rsid w:val="0073156B"/>
    <w:rsid w:val="00731915"/>
    <w:rsid w:val="00732871"/>
    <w:rsid w:val="00732D05"/>
    <w:rsid w:val="0073498B"/>
    <w:rsid w:val="0073606B"/>
    <w:rsid w:val="007377C8"/>
    <w:rsid w:val="00737896"/>
    <w:rsid w:val="00737BCE"/>
    <w:rsid w:val="007412AA"/>
    <w:rsid w:val="00742830"/>
    <w:rsid w:val="00742ECB"/>
    <w:rsid w:val="00744C4C"/>
    <w:rsid w:val="00744DE5"/>
    <w:rsid w:val="00744E73"/>
    <w:rsid w:val="0074518C"/>
    <w:rsid w:val="00745AB8"/>
    <w:rsid w:val="00746D22"/>
    <w:rsid w:val="007501F0"/>
    <w:rsid w:val="00750621"/>
    <w:rsid w:val="0075202A"/>
    <w:rsid w:val="00752A11"/>
    <w:rsid w:val="00753ED4"/>
    <w:rsid w:val="00753FA8"/>
    <w:rsid w:val="007541D0"/>
    <w:rsid w:val="007552DC"/>
    <w:rsid w:val="00755B56"/>
    <w:rsid w:val="007570C8"/>
    <w:rsid w:val="00757826"/>
    <w:rsid w:val="00760EAC"/>
    <w:rsid w:val="00763AD9"/>
    <w:rsid w:val="007642AE"/>
    <w:rsid w:val="00764368"/>
    <w:rsid w:val="00764B62"/>
    <w:rsid w:val="00765BA5"/>
    <w:rsid w:val="00766DED"/>
    <w:rsid w:val="00770BF1"/>
    <w:rsid w:val="007711AD"/>
    <w:rsid w:val="00771E72"/>
    <w:rsid w:val="007736B2"/>
    <w:rsid w:val="00773882"/>
    <w:rsid w:val="007738C5"/>
    <w:rsid w:val="00773D60"/>
    <w:rsid w:val="00775E3C"/>
    <w:rsid w:val="00776246"/>
    <w:rsid w:val="007765A7"/>
    <w:rsid w:val="00777017"/>
    <w:rsid w:val="00780590"/>
    <w:rsid w:val="0078092B"/>
    <w:rsid w:val="00781537"/>
    <w:rsid w:val="00782421"/>
    <w:rsid w:val="00782823"/>
    <w:rsid w:val="00784C53"/>
    <w:rsid w:val="0078629A"/>
    <w:rsid w:val="0079007C"/>
    <w:rsid w:val="007911AC"/>
    <w:rsid w:val="00791A10"/>
    <w:rsid w:val="00792BEA"/>
    <w:rsid w:val="00793DE0"/>
    <w:rsid w:val="0079693E"/>
    <w:rsid w:val="007976B4"/>
    <w:rsid w:val="007A2179"/>
    <w:rsid w:val="007A22A6"/>
    <w:rsid w:val="007A558B"/>
    <w:rsid w:val="007A6759"/>
    <w:rsid w:val="007B08AC"/>
    <w:rsid w:val="007B136E"/>
    <w:rsid w:val="007B27D0"/>
    <w:rsid w:val="007B43A6"/>
    <w:rsid w:val="007B691B"/>
    <w:rsid w:val="007C3E27"/>
    <w:rsid w:val="007C43CD"/>
    <w:rsid w:val="007C478C"/>
    <w:rsid w:val="007C521D"/>
    <w:rsid w:val="007C6202"/>
    <w:rsid w:val="007C63F1"/>
    <w:rsid w:val="007C65DC"/>
    <w:rsid w:val="007C68A3"/>
    <w:rsid w:val="007C745A"/>
    <w:rsid w:val="007C760C"/>
    <w:rsid w:val="007C7A7F"/>
    <w:rsid w:val="007D1808"/>
    <w:rsid w:val="007D2506"/>
    <w:rsid w:val="007D33C3"/>
    <w:rsid w:val="007D3431"/>
    <w:rsid w:val="007D3769"/>
    <w:rsid w:val="007D3B94"/>
    <w:rsid w:val="007D3E37"/>
    <w:rsid w:val="007D59F1"/>
    <w:rsid w:val="007D6D88"/>
    <w:rsid w:val="007D6DAD"/>
    <w:rsid w:val="007D79BA"/>
    <w:rsid w:val="007E1CA2"/>
    <w:rsid w:val="007E2F8E"/>
    <w:rsid w:val="007E3101"/>
    <w:rsid w:val="007E3BFC"/>
    <w:rsid w:val="007E436B"/>
    <w:rsid w:val="007E5667"/>
    <w:rsid w:val="007E638C"/>
    <w:rsid w:val="007E71D7"/>
    <w:rsid w:val="007F15B2"/>
    <w:rsid w:val="007F2175"/>
    <w:rsid w:val="007F36F5"/>
    <w:rsid w:val="007F4EB3"/>
    <w:rsid w:val="007F51E1"/>
    <w:rsid w:val="007F596D"/>
    <w:rsid w:val="007F7341"/>
    <w:rsid w:val="007F75CC"/>
    <w:rsid w:val="008011E8"/>
    <w:rsid w:val="008015AA"/>
    <w:rsid w:val="00803852"/>
    <w:rsid w:val="008051C0"/>
    <w:rsid w:val="0080720D"/>
    <w:rsid w:val="00807DD8"/>
    <w:rsid w:val="00807FCD"/>
    <w:rsid w:val="00810C39"/>
    <w:rsid w:val="008110CA"/>
    <w:rsid w:val="0081242A"/>
    <w:rsid w:val="00813153"/>
    <w:rsid w:val="00814D73"/>
    <w:rsid w:val="00814E5D"/>
    <w:rsid w:val="008160C2"/>
    <w:rsid w:val="00816CDB"/>
    <w:rsid w:val="008172B2"/>
    <w:rsid w:val="008201EE"/>
    <w:rsid w:val="0082138B"/>
    <w:rsid w:val="008221C9"/>
    <w:rsid w:val="008228AD"/>
    <w:rsid w:val="008245A1"/>
    <w:rsid w:val="00827098"/>
    <w:rsid w:val="00831538"/>
    <w:rsid w:val="00831F71"/>
    <w:rsid w:val="00832707"/>
    <w:rsid w:val="00832739"/>
    <w:rsid w:val="008336D6"/>
    <w:rsid w:val="00833820"/>
    <w:rsid w:val="0083484B"/>
    <w:rsid w:val="00835366"/>
    <w:rsid w:val="0083600F"/>
    <w:rsid w:val="0084112B"/>
    <w:rsid w:val="00842AB8"/>
    <w:rsid w:val="00842E0F"/>
    <w:rsid w:val="00843B34"/>
    <w:rsid w:val="00843BC6"/>
    <w:rsid w:val="008457B6"/>
    <w:rsid w:val="00846021"/>
    <w:rsid w:val="0084654E"/>
    <w:rsid w:val="00846B9B"/>
    <w:rsid w:val="0084772D"/>
    <w:rsid w:val="00851BFA"/>
    <w:rsid w:val="00852256"/>
    <w:rsid w:val="00852A0E"/>
    <w:rsid w:val="008533EF"/>
    <w:rsid w:val="00853AC9"/>
    <w:rsid w:val="008554A1"/>
    <w:rsid w:val="008559FB"/>
    <w:rsid w:val="008561A1"/>
    <w:rsid w:val="00856790"/>
    <w:rsid w:val="008579FF"/>
    <w:rsid w:val="00861005"/>
    <w:rsid w:val="008633A7"/>
    <w:rsid w:val="00863571"/>
    <w:rsid w:val="00867507"/>
    <w:rsid w:val="008701AD"/>
    <w:rsid w:val="0087098B"/>
    <w:rsid w:val="00870A6A"/>
    <w:rsid w:val="00870FE8"/>
    <w:rsid w:val="00872658"/>
    <w:rsid w:val="008732D9"/>
    <w:rsid w:val="00874057"/>
    <w:rsid w:val="00875C27"/>
    <w:rsid w:val="0087676D"/>
    <w:rsid w:val="00876FF0"/>
    <w:rsid w:val="008770E8"/>
    <w:rsid w:val="0087752E"/>
    <w:rsid w:val="00880876"/>
    <w:rsid w:val="008808FD"/>
    <w:rsid w:val="00881173"/>
    <w:rsid w:val="00881273"/>
    <w:rsid w:val="008822B3"/>
    <w:rsid w:val="00882AC5"/>
    <w:rsid w:val="00887CBA"/>
    <w:rsid w:val="00887CBD"/>
    <w:rsid w:val="00887E6F"/>
    <w:rsid w:val="00890191"/>
    <w:rsid w:val="00890A97"/>
    <w:rsid w:val="00890CFF"/>
    <w:rsid w:val="008910F3"/>
    <w:rsid w:val="0089172A"/>
    <w:rsid w:val="00892568"/>
    <w:rsid w:val="008926C8"/>
    <w:rsid w:val="00892E8B"/>
    <w:rsid w:val="00892FF6"/>
    <w:rsid w:val="008936B9"/>
    <w:rsid w:val="008939F9"/>
    <w:rsid w:val="00893C4B"/>
    <w:rsid w:val="008954EA"/>
    <w:rsid w:val="0089581C"/>
    <w:rsid w:val="00897B67"/>
    <w:rsid w:val="008A0D06"/>
    <w:rsid w:val="008A2A7B"/>
    <w:rsid w:val="008A2E44"/>
    <w:rsid w:val="008A3C66"/>
    <w:rsid w:val="008A59A9"/>
    <w:rsid w:val="008A6214"/>
    <w:rsid w:val="008A6C84"/>
    <w:rsid w:val="008A7168"/>
    <w:rsid w:val="008B1B1A"/>
    <w:rsid w:val="008B2763"/>
    <w:rsid w:val="008B2AC0"/>
    <w:rsid w:val="008B40F7"/>
    <w:rsid w:val="008B48D8"/>
    <w:rsid w:val="008B4B3A"/>
    <w:rsid w:val="008B5146"/>
    <w:rsid w:val="008B5A24"/>
    <w:rsid w:val="008C0417"/>
    <w:rsid w:val="008C0C43"/>
    <w:rsid w:val="008C11CB"/>
    <w:rsid w:val="008C16F7"/>
    <w:rsid w:val="008C18EA"/>
    <w:rsid w:val="008C1CE8"/>
    <w:rsid w:val="008C31A3"/>
    <w:rsid w:val="008C40E7"/>
    <w:rsid w:val="008C450F"/>
    <w:rsid w:val="008C4A2A"/>
    <w:rsid w:val="008C6826"/>
    <w:rsid w:val="008C74C1"/>
    <w:rsid w:val="008C7921"/>
    <w:rsid w:val="008C7DA0"/>
    <w:rsid w:val="008D06FF"/>
    <w:rsid w:val="008D0D59"/>
    <w:rsid w:val="008D0ED9"/>
    <w:rsid w:val="008D19FD"/>
    <w:rsid w:val="008D2270"/>
    <w:rsid w:val="008D2607"/>
    <w:rsid w:val="008D2CC4"/>
    <w:rsid w:val="008D45C1"/>
    <w:rsid w:val="008D4F8A"/>
    <w:rsid w:val="008D4FF9"/>
    <w:rsid w:val="008D52EF"/>
    <w:rsid w:val="008D5977"/>
    <w:rsid w:val="008D77AB"/>
    <w:rsid w:val="008D7AC6"/>
    <w:rsid w:val="008D7FE8"/>
    <w:rsid w:val="008DF3A5"/>
    <w:rsid w:val="008E127D"/>
    <w:rsid w:val="008E1D59"/>
    <w:rsid w:val="008E313C"/>
    <w:rsid w:val="008E3274"/>
    <w:rsid w:val="008E3575"/>
    <w:rsid w:val="008E36FE"/>
    <w:rsid w:val="008E441D"/>
    <w:rsid w:val="008E4B4B"/>
    <w:rsid w:val="008E523E"/>
    <w:rsid w:val="008E71AB"/>
    <w:rsid w:val="008E78FB"/>
    <w:rsid w:val="008E7FB1"/>
    <w:rsid w:val="008F116F"/>
    <w:rsid w:val="008F1961"/>
    <w:rsid w:val="008F3CF5"/>
    <w:rsid w:val="008F550D"/>
    <w:rsid w:val="008F5A97"/>
    <w:rsid w:val="008F6506"/>
    <w:rsid w:val="008F65BB"/>
    <w:rsid w:val="008F687C"/>
    <w:rsid w:val="008F7E20"/>
    <w:rsid w:val="00900027"/>
    <w:rsid w:val="009006BF"/>
    <w:rsid w:val="00900C72"/>
    <w:rsid w:val="009011B2"/>
    <w:rsid w:val="009014F9"/>
    <w:rsid w:val="0090265C"/>
    <w:rsid w:val="009028D7"/>
    <w:rsid w:val="00902F25"/>
    <w:rsid w:val="00903711"/>
    <w:rsid w:val="0090378E"/>
    <w:rsid w:val="009039A9"/>
    <w:rsid w:val="00904AF7"/>
    <w:rsid w:val="009053FF"/>
    <w:rsid w:val="009061F5"/>
    <w:rsid w:val="00906964"/>
    <w:rsid w:val="00910C52"/>
    <w:rsid w:val="00911026"/>
    <w:rsid w:val="009111F8"/>
    <w:rsid w:val="009112F8"/>
    <w:rsid w:val="00911868"/>
    <w:rsid w:val="00912337"/>
    <w:rsid w:val="009129F6"/>
    <w:rsid w:val="00912AA5"/>
    <w:rsid w:val="00912C98"/>
    <w:rsid w:val="009131F4"/>
    <w:rsid w:val="009132BD"/>
    <w:rsid w:val="00914C37"/>
    <w:rsid w:val="009150B4"/>
    <w:rsid w:val="009152BC"/>
    <w:rsid w:val="00915D17"/>
    <w:rsid w:val="00920BDC"/>
    <w:rsid w:val="00920FA7"/>
    <w:rsid w:val="00921E15"/>
    <w:rsid w:val="00922035"/>
    <w:rsid w:val="0092372D"/>
    <w:rsid w:val="00923F38"/>
    <w:rsid w:val="00924B13"/>
    <w:rsid w:val="0092505B"/>
    <w:rsid w:val="00925FB5"/>
    <w:rsid w:val="00926469"/>
    <w:rsid w:val="009275B5"/>
    <w:rsid w:val="00927C0C"/>
    <w:rsid w:val="00930062"/>
    <w:rsid w:val="0093252A"/>
    <w:rsid w:val="00932879"/>
    <w:rsid w:val="00932C26"/>
    <w:rsid w:val="00933121"/>
    <w:rsid w:val="009332B7"/>
    <w:rsid w:val="00933EC7"/>
    <w:rsid w:val="0093594D"/>
    <w:rsid w:val="00935C88"/>
    <w:rsid w:val="00937474"/>
    <w:rsid w:val="00940B21"/>
    <w:rsid w:val="00941037"/>
    <w:rsid w:val="009415E8"/>
    <w:rsid w:val="00942818"/>
    <w:rsid w:val="0094285E"/>
    <w:rsid w:val="00944263"/>
    <w:rsid w:val="009448D9"/>
    <w:rsid w:val="00944D2B"/>
    <w:rsid w:val="009453E6"/>
    <w:rsid w:val="00945973"/>
    <w:rsid w:val="00945EAA"/>
    <w:rsid w:val="00947244"/>
    <w:rsid w:val="00950A80"/>
    <w:rsid w:val="009512B7"/>
    <w:rsid w:val="00951B76"/>
    <w:rsid w:val="00951F13"/>
    <w:rsid w:val="0095264D"/>
    <w:rsid w:val="00953F5C"/>
    <w:rsid w:val="00960052"/>
    <w:rsid w:val="0096145B"/>
    <w:rsid w:val="00961C92"/>
    <w:rsid w:val="00961F42"/>
    <w:rsid w:val="00962A80"/>
    <w:rsid w:val="0096527E"/>
    <w:rsid w:val="009657F9"/>
    <w:rsid w:val="00965FC4"/>
    <w:rsid w:val="009664A4"/>
    <w:rsid w:val="009700BB"/>
    <w:rsid w:val="00971A57"/>
    <w:rsid w:val="009737C0"/>
    <w:rsid w:val="00974289"/>
    <w:rsid w:val="00975E74"/>
    <w:rsid w:val="00977D17"/>
    <w:rsid w:val="00983A67"/>
    <w:rsid w:val="00983AE8"/>
    <w:rsid w:val="00983B63"/>
    <w:rsid w:val="0098678F"/>
    <w:rsid w:val="0098681B"/>
    <w:rsid w:val="009915E2"/>
    <w:rsid w:val="00992615"/>
    <w:rsid w:val="00992714"/>
    <w:rsid w:val="00992AAC"/>
    <w:rsid w:val="00994299"/>
    <w:rsid w:val="00994514"/>
    <w:rsid w:val="00994D8C"/>
    <w:rsid w:val="009A0E27"/>
    <w:rsid w:val="009A2352"/>
    <w:rsid w:val="009A2463"/>
    <w:rsid w:val="009A30F7"/>
    <w:rsid w:val="009A40C9"/>
    <w:rsid w:val="009A5A01"/>
    <w:rsid w:val="009A7CFA"/>
    <w:rsid w:val="009B04E5"/>
    <w:rsid w:val="009B1291"/>
    <w:rsid w:val="009B13D5"/>
    <w:rsid w:val="009B1C34"/>
    <w:rsid w:val="009B2231"/>
    <w:rsid w:val="009B2B97"/>
    <w:rsid w:val="009B2EC1"/>
    <w:rsid w:val="009B3FD9"/>
    <w:rsid w:val="009B446A"/>
    <w:rsid w:val="009B44A0"/>
    <w:rsid w:val="009B56F1"/>
    <w:rsid w:val="009B6A51"/>
    <w:rsid w:val="009B7DD6"/>
    <w:rsid w:val="009C17DF"/>
    <w:rsid w:val="009C1F10"/>
    <w:rsid w:val="009C2087"/>
    <w:rsid w:val="009C2B77"/>
    <w:rsid w:val="009C4D9B"/>
    <w:rsid w:val="009C4E70"/>
    <w:rsid w:val="009C534C"/>
    <w:rsid w:val="009C55D4"/>
    <w:rsid w:val="009C68C8"/>
    <w:rsid w:val="009C7F5C"/>
    <w:rsid w:val="009D1A44"/>
    <w:rsid w:val="009D1FE3"/>
    <w:rsid w:val="009D27A7"/>
    <w:rsid w:val="009D3086"/>
    <w:rsid w:val="009D3824"/>
    <w:rsid w:val="009D3E7B"/>
    <w:rsid w:val="009D40E7"/>
    <w:rsid w:val="009D535E"/>
    <w:rsid w:val="009D7252"/>
    <w:rsid w:val="009E0BD0"/>
    <w:rsid w:val="009E0DC6"/>
    <w:rsid w:val="009E1404"/>
    <w:rsid w:val="009E3A3B"/>
    <w:rsid w:val="009E4161"/>
    <w:rsid w:val="009E49FC"/>
    <w:rsid w:val="009E4C67"/>
    <w:rsid w:val="009E4E49"/>
    <w:rsid w:val="009E5944"/>
    <w:rsid w:val="009E7435"/>
    <w:rsid w:val="009E7E6D"/>
    <w:rsid w:val="009F03C2"/>
    <w:rsid w:val="009F2BA1"/>
    <w:rsid w:val="009F3B18"/>
    <w:rsid w:val="009F3B3A"/>
    <w:rsid w:val="009F442A"/>
    <w:rsid w:val="009F49D4"/>
    <w:rsid w:val="009F5270"/>
    <w:rsid w:val="009F58A3"/>
    <w:rsid w:val="009F6AF2"/>
    <w:rsid w:val="009F7791"/>
    <w:rsid w:val="009F786F"/>
    <w:rsid w:val="00A0018C"/>
    <w:rsid w:val="00A00313"/>
    <w:rsid w:val="00A00FD8"/>
    <w:rsid w:val="00A02786"/>
    <w:rsid w:val="00A03590"/>
    <w:rsid w:val="00A0556D"/>
    <w:rsid w:val="00A057BE"/>
    <w:rsid w:val="00A07756"/>
    <w:rsid w:val="00A106FC"/>
    <w:rsid w:val="00A10E06"/>
    <w:rsid w:val="00A11BAE"/>
    <w:rsid w:val="00A11C1D"/>
    <w:rsid w:val="00A12DE3"/>
    <w:rsid w:val="00A131B2"/>
    <w:rsid w:val="00A14376"/>
    <w:rsid w:val="00A1577C"/>
    <w:rsid w:val="00A15B9D"/>
    <w:rsid w:val="00A15F5F"/>
    <w:rsid w:val="00A1725B"/>
    <w:rsid w:val="00A20EF2"/>
    <w:rsid w:val="00A213C6"/>
    <w:rsid w:val="00A217C6"/>
    <w:rsid w:val="00A21E4C"/>
    <w:rsid w:val="00A2370E"/>
    <w:rsid w:val="00A2463C"/>
    <w:rsid w:val="00A24CB9"/>
    <w:rsid w:val="00A250AD"/>
    <w:rsid w:val="00A25212"/>
    <w:rsid w:val="00A259D4"/>
    <w:rsid w:val="00A2689D"/>
    <w:rsid w:val="00A26FCC"/>
    <w:rsid w:val="00A278C7"/>
    <w:rsid w:val="00A3073B"/>
    <w:rsid w:val="00A30833"/>
    <w:rsid w:val="00A316BF"/>
    <w:rsid w:val="00A334D3"/>
    <w:rsid w:val="00A344A1"/>
    <w:rsid w:val="00A36144"/>
    <w:rsid w:val="00A37579"/>
    <w:rsid w:val="00A41F1C"/>
    <w:rsid w:val="00A45500"/>
    <w:rsid w:val="00A46944"/>
    <w:rsid w:val="00A47126"/>
    <w:rsid w:val="00A47886"/>
    <w:rsid w:val="00A47A08"/>
    <w:rsid w:val="00A5129D"/>
    <w:rsid w:val="00A5144D"/>
    <w:rsid w:val="00A52B06"/>
    <w:rsid w:val="00A538D1"/>
    <w:rsid w:val="00A547C5"/>
    <w:rsid w:val="00A54FBD"/>
    <w:rsid w:val="00A55F3C"/>
    <w:rsid w:val="00A57D1A"/>
    <w:rsid w:val="00A57D55"/>
    <w:rsid w:val="00A608CE"/>
    <w:rsid w:val="00A61367"/>
    <w:rsid w:val="00A625E3"/>
    <w:rsid w:val="00A62D6A"/>
    <w:rsid w:val="00A6350A"/>
    <w:rsid w:val="00A64CAE"/>
    <w:rsid w:val="00A6561E"/>
    <w:rsid w:val="00A65D1A"/>
    <w:rsid w:val="00A70176"/>
    <w:rsid w:val="00A70EC9"/>
    <w:rsid w:val="00A72ADF"/>
    <w:rsid w:val="00A7428F"/>
    <w:rsid w:val="00A7463D"/>
    <w:rsid w:val="00A74A46"/>
    <w:rsid w:val="00A771AB"/>
    <w:rsid w:val="00A77AC5"/>
    <w:rsid w:val="00A8001B"/>
    <w:rsid w:val="00A80496"/>
    <w:rsid w:val="00A80831"/>
    <w:rsid w:val="00A80A24"/>
    <w:rsid w:val="00A823C0"/>
    <w:rsid w:val="00A82FE7"/>
    <w:rsid w:val="00A83873"/>
    <w:rsid w:val="00A847AE"/>
    <w:rsid w:val="00A86241"/>
    <w:rsid w:val="00A90725"/>
    <w:rsid w:val="00A90813"/>
    <w:rsid w:val="00A93212"/>
    <w:rsid w:val="00A93DF4"/>
    <w:rsid w:val="00A943EE"/>
    <w:rsid w:val="00A94A48"/>
    <w:rsid w:val="00A94D90"/>
    <w:rsid w:val="00A950C8"/>
    <w:rsid w:val="00A95B81"/>
    <w:rsid w:val="00A963F3"/>
    <w:rsid w:val="00A97397"/>
    <w:rsid w:val="00A97651"/>
    <w:rsid w:val="00A979FC"/>
    <w:rsid w:val="00AA4585"/>
    <w:rsid w:val="00AA5503"/>
    <w:rsid w:val="00AA5894"/>
    <w:rsid w:val="00AA66BD"/>
    <w:rsid w:val="00AB1943"/>
    <w:rsid w:val="00AB1A61"/>
    <w:rsid w:val="00AB2540"/>
    <w:rsid w:val="00AB2C30"/>
    <w:rsid w:val="00AB2F15"/>
    <w:rsid w:val="00AB5171"/>
    <w:rsid w:val="00AB6CBE"/>
    <w:rsid w:val="00AB6D8F"/>
    <w:rsid w:val="00AC19BA"/>
    <w:rsid w:val="00AC2534"/>
    <w:rsid w:val="00AC270F"/>
    <w:rsid w:val="00AC45FA"/>
    <w:rsid w:val="00AC4EE2"/>
    <w:rsid w:val="00AC61E8"/>
    <w:rsid w:val="00AC6E5B"/>
    <w:rsid w:val="00AD0240"/>
    <w:rsid w:val="00AD04C1"/>
    <w:rsid w:val="00AD21C2"/>
    <w:rsid w:val="00AD4BF6"/>
    <w:rsid w:val="00AE0160"/>
    <w:rsid w:val="00AE0AC5"/>
    <w:rsid w:val="00AE21A4"/>
    <w:rsid w:val="00AE286F"/>
    <w:rsid w:val="00AE28C2"/>
    <w:rsid w:val="00AE3526"/>
    <w:rsid w:val="00AE49FF"/>
    <w:rsid w:val="00AE4D7A"/>
    <w:rsid w:val="00AE54B7"/>
    <w:rsid w:val="00AE5D2E"/>
    <w:rsid w:val="00AE5F8F"/>
    <w:rsid w:val="00AE6F89"/>
    <w:rsid w:val="00AF0F72"/>
    <w:rsid w:val="00AF16FE"/>
    <w:rsid w:val="00AF1BF9"/>
    <w:rsid w:val="00AF2AA6"/>
    <w:rsid w:val="00AF3669"/>
    <w:rsid w:val="00AF3C47"/>
    <w:rsid w:val="00AF58B9"/>
    <w:rsid w:val="00AF6EF3"/>
    <w:rsid w:val="00AF7B9E"/>
    <w:rsid w:val="00B014F8"/>
    <w:rsid w:val="00B02068"/>
    <w:rsid w:val="00B021DD"/>
    <w:rsid w:val="00B03670"/>
    <w:rsid w:val="00B038F5"/>
    <w:rsid w:val="00B04388"/>
    <w:rsid w:val="00B04C17"/>
    <w:rsid w:val="00B04FB2"/>
    <w:rsid w:val="00B06D9D"/>
    <w:rsid w:val="00B1058B"/>
    <w:rsid w:val="00B1098C"/>
    <w:rsid w:val="00B1113A"/>
    <w:rsid w:val="00B124A2"/>
    <w:rsid w:val="00B12A7F"/>
    <w:rsid w:val="00B144D7"/>
    <w:rsid w:val="00B14E01"/>
    <w:rsid w:val="00B1537E"/>
    <w:rsid w:val="00B168C2"/>
    <w:rsid w:val="00B20303"/>
    <w:rsid w:val="00B208B3"/>
    <w:rsid w:val="00B235C5"/>
    <w:rsid w:val="00B236BD"/>
    <w:rsid w:val="00B261F9"/>
    <w:rsid w:val="00B27564"/>
    <w:rsid w:val="00B27888"/>
    <w:rsid w:val="00B302CC"/>
    <w:rsid w:val="00B303A4"/>
    <w:rsid w:val="00B31486"/>
    <w:rsid w:val="00B3191E"/>
    <w:rsid w:val="00B3340F"/>
    <w:rsid w:val="00B343C3"/>
    <w:rsid w:val="00B353A5"/>
    <w:rsid w:val="00B37B06"/>
    <w:rsid w:val="00B40ACC"/>
    <w:rsid w:val="00B4215D"/>
    <w:rsid w:val="00B425E0"/>
    <w:rsid w:val="00B42E24"/>
    <w:rsid w:val="00B43258"/>
    <w:rsid w:val="00B43EEA"/>
    <w:rsid w:val="00B448F4"/>
    <w:rsid w:val="00B45391"/>
    <w:rsid w:val="00B46089"/>
    <w:rsid w:val="00B47606"/>
    <w:rsid w:val="00B47A7B"/>
    <w:rsid w:val="00B505F2"/>
    <w:rsid w:val="00B51279"/>
    <w:rsid w:val="00B5188A"/>
    <w:rsid w:val="00B530E3"/>
    <w:rsid w:val="00B53319"/>
    <w:rsid w:val="00B533FD"/>
    <w:rsid w:val="00B547F4"/>
    <w:rsid w:val="00B54E5A"/>
    <w:rsid w:val="00B56E2E"/>
    <w:rsid w:val="00B57980"/>
    <w:rsid w:val="00B57CF6"/>
    <w:rsid w:val="00B57DF9"/>
    <w:rsid w:val="00B60F7C"/>
    <w:rsid w:val="00B616AC"/>
    <w:rsid w:val="00B626F7"/>
    <w:rsid w:val="00B6466E"/>
    <w:rsid w:val="00B6467F"/>
    <w:rsid w:val="00B6478D"/>
    <w:rsid w:val="00B64F9B"/>
    <w:rsid w:val="00B65993"/>
    <w:rsid w:val="00B65D9D"/>
    <w:rsid w:val="00B65F4A"/>
    <w:rsid w:val="00B6787D"/>
    <w:rsid w:val="00B67C0B"/>
    <w:rsid w:val="00B67C76"/>
    <w:rsid w:val="00B71052"/>
    <w:rsid w:val="00B71BA3"/>
    <w:rsid w:val="00B72724"/>
    <w:rsid w:val="00B72CAF"/>
    <w:rsid w:val="00B73351"/>
    <w:rsid w:val="00B73433"/>
    <w:rsid w:val="00B73915"/>
    <w:rsid w:val="00B73BAA"/>
    <w:rsid w:val="00B74759"/>
    <w:rsid w:val="00B7574B"/>
    <w:rsid w:val="00B77EE7"/>
    <w:rsid w:val="00B80026"/>
    <w:rsid w:val="00B80BAC"/>
    <w:rsid w:val="00B80F2A"/>
    <w:rsid w:val="00B81805"/>
    <w:rsid w:val="00B820C1"/>
    <w:rsid w:val="00B82596"/>
    <w:rsid w:val="00B87A7E"/>
    <w:rsid w:val="00B905A5"/>
    <w:rsid w:val="00B90DA1"/>
    <w:rsid w:val="00B91B45"/>
    <w:rsid w:val="00B9241D"/>
    <w:rsid w:val="00B9414E"/>
    <w:rsid w:val="00B95A2E"/>
    <w:rsid w:val="00B96283"/>
    <w:rsid w:val="00B96459"/>
    <w:rsid w:val="00B96F50"/>
    <w:rsid w:val="00B97017"/>
    <w:rsid w:val="00BA0517"/>
    <w:rsid w:val="00BA0F53"/>
    <w:rsid w:val="00BA1B95"/>
    <w:rsid w:val="00BA1C98"/>
    <w:rsid w:val="00BA66E8"/>
    <w:rsid w:val="00BA7A10"/>
    <w:rsid w:val="00BAAC06"/>
    <w:rsid w:val="00BB0FB9"/>
    <w:rsid w:val="00BB1C2E"/>
    <w:rsid w:val="00BB291C"/>
    <w:rsid w:val="00BB2EFB"/>
    <w:rsid w:val="00BB345F"/>
    <w:rsid w:val="00BB37C8"/>
    <w:rsid w:val="00BB38DE"/>
    <w:rsid w:val="00BB3C3B"/>
    <w:rsid w:val="00BB5453"/>
    <w:rsid w:val="00BB5F3C"/>
    <w:rsid w:val="00BB638E"/>
    <w:rsid w:val="00BB6E5B"/>
    <w:rsid w:val="00BB74E0"/>
    <w:rsid w:val="00BC03FC"/>
    <w:rsid w:val="00BC079C"/>
    <w:rsid w:val="00BC347E"/>
    <w:rsid w:val="00BC43AB"/>
    <w:rsid w:val="00BC4554"/>
    <w:rsid w:val="00BC490C"/>
    <w:rsid w:val="00BC5299"/>
    <w:rsid w:val="00BC56EA"/>
    <w:rsid w:val="00BC5A09"/>
    <w:rsid w:val="00BC63BF"/>
    <w:rsid w:val="00BD09DE"/>
    <w:rsid w:val="00BD256E"/>
    <w:rsid w:val="00BD2C47"/>
    <w:rsid w:val="00BD2FFE"/>
    <w:rsid w:val="00BD3927"/>
    <w:rsid w:val="00BD43DC"/>
    <w:rsid w:val="00BD46E1"/>
    <w:rsid w:val="00BD4778"/>
    <w:rsid w:val="00BD47E2"/>
    <w:rsid w:val="00BD4B97"/>
    <w:rsid w:val="00BD4E4F"/>
    <w:rsid w:val="00BD62CF"/>
    <w:rsid w:val="00BD7612"/>
    <w:rsid w:val="00BD7B97"/>
    <w:rsid w:val="00BE0A03"/>
    <w:rsid w:val="00BE17C4"/>
    <w:rsid w:val="00BE1BDB"/>
    <w:rsid w:val="00BE1DD2"/>
    <w:rsid w:val="00BE206F"/>
    <w:rsid w:val="00BE46D7"/>
    <w:rsid w:val="00BF1C11"/>
    <w:rsid w:val="00BF2BA4"/>
    <w:rsid w:val="00BF4789"/>
    <w:rsid w:val="00BF4982"/>
    <w:rsid w:val="00BF5962"/>
    <w:rsid w:val="00BF6377"/>
    <w:rsid w:val="00BF6ED9"/>
    <w:rsid w:val="00C02EAA"/>
    <w:rsid w:val="00C035AC"/>
    <w:rsid w:val="00C03CAB"/>
    <w:rsid w:val="00C04250"/>
    <w:rsid w:val="00C05728"/>
    <w:rsid w:val="00C05CC8"/>
    <w:rsid w:val="00C102A7"/>
    <w:rsid w:val="00C10E43"/>
    <w:rsid w:val="00C1128E"/>
    <w:rsid w:val="00C13A88"/>
    <w:rsid w:val="00C13E8B"/>
    <w:rsid w:val="00C14961"/>
    <w:rsid w:val="00C154B6"/>
    <w:rsid w:val="00C15773"/>
    <w:rsid w:val="00C17C0A"/>
    <w:rsid w:val="00C20956"/>
    <w:rsid w:val="00C21243"/>
    <w:rsid w:val="00C21870"/>
    <w:rsid w:val="00C23AAA"/>
    <w:rsid w:val="00C241A0"/>
    <w:rsid w:val="00C2621A"/>
    <w:rsid w:val="00C26C4D"/>
    <w:rsid w:val="00C305B8"/>
    <w:rsid w:val="00C30D29"/>
    <w:rsid w:val="00C317AE"/>
    <w:rsid w:val="00C35DAC"/>
    <w:rsid w:val="00C379FB"/>
    <w:rsid w:val="00C41BA9"/>
    <w:rsid w:val="00C4208C"/>
    <w:rsid w:val="00C42110"/>
    <w:rsid w:val="00C428FC"/>
    <w:rsid w:val="00C45393"/>
    <w:rsid w:val="00C453BF"/>
    <w:rsid w:val="00C45E72"/>
    <w:rsid w:val="00C46DF4"/>
    <w:rsid w:val="00C46EA5"/>
    <w:rsid w:val="00C4784C"/>
    <w:rsid w:val="00C5147D"/>
    <w:rsid w:val="00C51B05"/>
    <w:rsid w:val="00C52F46"/>
    <w:rsid w:val="00C52F51"/>
    <w:rsid w:val="00C534D5"/>
    <w:rsid w:val="00C53538"/>
    <w:rsid w:val="00C53C25"/>
    <w:rsid w:val="00C540E6"/>
    <w:rsid w:val="00C5468A"/>
    <w:rsid w:val="00C5478D"/>
    <w:rsid w:val="00C55D49"/>
    <w:rsid w:val="00C565FF"/>
    <w:rsid w:val="00C56CE5"/>
    <w:rsid w:val="00C56DD9"/>
    <w:rsid w:val="00C57E3D"/>
    <w:rsid w:val="00C57EA0"/>
    <w:rsid w:val="00C60DB3"/>
    <w:rsid w:val="00C623A5"/>
    <w:rsid w:val="00C62DB0"/>
    <w:rsid w:val="00C63B5D"/>
    <w:rsid w:val="00C64FC9"/>
    <w:rsid w:val="00C65317"/>
    <w:rsid w:val="00C65BB4"/>
    <w:rsid w:val="00C65F4F"/>
    <w:rsid w:val="00C663C1"/>
    <w:rsid w:val="00C6680C"/>
    <w:rsid w:val="00C66961"/>
    <w:rsid w:val="00C679B3"/>
    <w:rsid w:val="00C71256"/>
    <w:rsid w:val="00C725F0"/>
    <w:rsid w:val="00C72D25"/>
    <w:rsid w:val="00C72F34"/>
    <w:rsid w:val="00C738F1"/>
    <w:rsid w:val="00C73BBD"/>
    <w:rsid w:val="00C73F14"/>
    <w:rsid w:val="00C74600"/>
    <w:rsid w:val="00C75799"/>
    <w:rsid w:val="00C75C36"/>
    <w:rsid w:val="00C76352"/>
    <w:rsid w:val="00C76D20"/>
    <w:rsid w:val="00C81BC0"/>
    <w:rsid w:val="00C83A3B"/>
    <w:rsid w:val="00C857CC"/>
    <w:rsid w:val="00C85F4C"/>
    <w:rsid w:val="00C87113"/>
    <w:rsid w:val="00C907A9"/>
    <w:rsid w:val="00C91B4D"/>
    <w:rsid w:val="00C92A09"/>
    <w:rsid w:val="00C93B26"/>
    <w:rsid w:val="00C959E0"/>
    <w:rsid w:val="00C96457"/>
    <w:rsid w:val="00C978D1"/>
    <w:rsid w:val="00C97F51"/>
    <w:rsid w:val="00CA17A1"/>
    <w:rsid w:val="00CA20BB"/>
    <w:rsid w:val="00CA265B"/>
    <w:rsid w:val="00CA266C"/>
    <w:rsid w:val="00CA2D9B"/>
    <w:rsid w:val="00CA3B82"/>
    <w:rsid w:val="00CA56EB"/>
    <w:rsid w:val="00CA5963"/>
    <w:rsid w:val="00CA5FCF"/>
    <w:rsid w:val="00CA6B6F"/>
    <w:rsid w:val="00CA6D37"/>
    <w:rsid w:val="00CA6FB3"/>
    <w:rsid w:val="00CB06F8"/>
    <w:rsid w:val="00CB3688"/>
    <w:rsid w:val="00CB68FC"/>
    <w:rsid w:val="00CB707C"/>
    <w:rsid w:val="00CB7F0E"/>
    <w:rsid w:val="00CC1A74"/>
    <w:rsid w:val="00CC1C03"/>
    <w:rsid w:val="00CC30DF"/>
    <w:rsid w:val="00CC3292"/>
    <w:rsid w:val="00CC3633"/>
    <w:rsid w:val="00CC3FDB"/>
    <w:rsid w:val="00CC4323"/>
    <w:rsid w:val="00CC439E"/>
    <w:rsid w:val="00CC613B"/>
    <w:rsid w:val="00CC64C1"/>
    <w:rsid w:val="00CC742E"/>
    <w:rsid w:val="00CC75BD"/>
    <w:rsid w:val="00CD1797"/>
    <w:rsid w:val="00CD1E7A"/>
    <w:rsid w:val="00CD36C5"/>
    <w:rsid w:val="00CD44A5"/>
    <w:rsid w:val="00CD4C86"/>
    <w:rsid w:val="00CD5CE0"/>
    <w:rsid w:val="00CD5FEF"/>
    <w:rsid w:val="00CD6238"/>
    <w:rsid w:val="00CD7039"/>
    <w:rsid w:val="00CD752E"/>
    <w:rsid w:val="00CD752F"/>
    <w:rsid w:val="00CD781D"/>
    <w:rsid w:val="00CE06CE"/>
    <w:rsid w:val="00CE0D55"/>
    <w:rsid w:val="00CE0EB6"/>
    <w:rsid w:val="00CE0EF1"/>
    <w:rsid w:val="00CE35CB"/>
    <w:rsid w:val="00CE5231"/>
    <w:rsid w:val="00CE52B4"/>
    <w:rsid w:val="00CE605E"/>
    <w:rsid w:val="00CE7950"/>
    <w:rsid w:val="00CF079D"/>
    <w:rsid w:val="00CF094B"/>
    <w:rsid w:val="00CF0965"/>
    <w:rsid w:val="00CF0E09"/>
    <w:rsid w:val="00CF2ABE"/>
    <w:rsid w:val="00CF2DBC"/>
    <w:rsid w:val="00CF2F9E"/>
    <w:rsid w:val="00CF4537"/>
    <w:rsid w:val="00CF4A65"/>
    <w:rsid w:val="00CF4D3B"/>
    <w:rsid w:val="00CF65F2"/>
    <w:rsid w:val="00CF66BB"/>
    <w:rsid w:val="00CF7707"/>
    <w:rsid w:val="00CF7B59"/>
    <w:rsid w:val="00D031C2"/>
    <w:rsid w:val="00D04999"/>
    <w:rsid w:val="00D0502D"/>
    <w:rsid w:val="00D07B46"/>
    <w:rsid w:val="00D10F11"/>
    <w:rsid w:val="00D11689"/>
    <w:rsid w:val="00D116CB"/>
    <w:rsid w:val="00D12EBD"/>
    <w:rsid w:val="00D12F01"/>
    <w:rsid w:val="00D13C9D"/>
    <w:rsid w:val="00D14787"/>
    <w:rsid w:val="00D15DBB"/>
    <w:rsid w:val="00D1649B"/>
    <w:rsid w:val="00D2178F"/>
    <w:rsid w:val="00D21E95"/>
    <w:rsid w:val="00D22D07"/>
    <w:rsid w:val="00D22FB4"/>
    <w:rsid w:val="00D24009"/>
    <w:rsid w:val="00D26772"/>
    <w:rsid w:val="00D276B0"/>
    <w:rsid w:val="00D2788F"/>
    <w:rsid w:val="00D32054"/>
    <w:rsid w:val="00D335BC"/>
    <w:rsid w:val="00D34254"/>
    <w:rsid w:val="00D34430"/>
    <w:rsid w:val="00D34611"/>
    <w:rsid w:val="00D36914"/>
    <w:rsid w:val="00D4061C"/>
    <w:rsid w:val="00D40D8A"/>
    <w:rsid w:val="00D40E77"/>
    <w:rsid w:val="00D4145C"/>
    <w:rsid w:val="00D415D1"/>
    <w:rsid w:val="00D41816"/>
    <w:rsid w:val="00D437E7"/>
    <w:rsid w:val="00D439C0"/>
    <w:rsid w:val="00D44298"/>
    <w:rsid w:val="00D44667"/>
    <w:rsid w:val="00D44670"/>
    <w:rsid w:val="00D5077C"/>
    <w:rsid w:val="00D5188B"/>
    <w:rsid w:val="00D52BD2"/>
    <w:rsid w:val="00D56961"/>
    <w:rsid w:val="00D5779D"/>
    <w:rsid w:val="00D60924"/>
    <w:rsid w:val="00D60B92"/>
    <w:rsid w:val="00D60D10"/>
    <w:rsid w:val="00D62B3C"/>
    <w:rsid w:val="00D6361F"/>
    <w:rsid w:val="00D63778"/>
    <w:rsid w:val="00D63AE6"/>
    <w:rsid w:val="00D63CDB"/>
    <w:rsid w:val="00D64257"/>
    <w:rsid w:val="00D6453A"/>
    <w:rsid w:val="00D64BEB"/>
    <w:rsid w:val="00D65267"/>
    <w:rsid w:val="00D65F04"/>
    <w:rsid w:val="00D662E9"/>
    <w:rsid w:val="00D66C0D"/>
    <w:rsid w:val="00D67DCB"/>
    <w:rsid w:val="00D701BA"/>
    <w:rsid w:val="00D70710"/>
    <w:rsid w:val="00D70B9D"/>
    <w:rsid w:val="00D710F1"/>
    <w:rsid w:val="00D71609"/>
    <w:rsid w:val="00D724D3"/>
    <w:rsid w:val="00D72A57"/>
    <w:rsid w:val="00D7349C"/>
    <w:rsid w:val="00D73AFA"/>
    <w:rsid w:val="00D74748"/>
    <w:rsid w:val="00D74936"/>
    <w:rsid w:val="00D74AC3"/>
    <w:rsid w:val="00D75194"/>
    <w:rsid w:val="00D75DDD"/>
    <w:rsid w:val="00D75FDE"/>
    <w:rsid w:val="00D77234"/>
    <w:rsid w:val="00D774B8"/>
    <w:rsid w:val="00D7798C"/>
    <w:rsid w:val="00D77C76"/>
    <w:rsid w:val="00D77CDE"/>
    <w:rsid w:val="00D77E3A"/>
    <w:rsid w:val="00D803D2"/>
    <w:rsid w:val="00D80E71"/>
    <w:rsid w:val="00D81993"/>
    <w:rsid w:val="00D81F8D"/>
    <w:rsid w:val="00D8210A"/>
    <w:rsid w:val="00D827D7"/>
    <w:rsid w:val="00D83B2E"/>
    <w:rsid w:val="00D840D8"/>
    <w:rsid w:val="00D84220"/>
    <w:rsid w:val="00D848B5"/>
    <w:rsid w:val="00D8556A"/>
    <w:rsid w:val="00D87079"/>
    <w:rsid w:val="00D87A88"/>
    <w:rsid w:val="00D900A5"/>
    <w:rsid w:val="00D90763"/>
    <w:rsid w:val="00D914DB"/>
    <w:rsid w:val="00D92AAA"/>
    <w:rsid w:val="00D92CAC"/>
    <w:rsid w:val="00D93108"/>
    <w:rsid w:val="00D94466"/>
    <w:rsid w:val="00D94860"/>
    <w:rsid w:val="00D95653"/>
    <w:rsid w:val="00D95685"/>
    <w:rsid w:val="00D95879"/>
    <w:rsid w:val="00D96AC7"/>
    <w:rsid w:val="00D97DBA"/>
    <w:rsid w:val="00DA0322"/>
    <w:rsid w:val="00DA066B"/>
    <w:rsid w:val="00DA0771"/>
    <w:rsid w:val="00DA1B10"/>
    <w:rsid w:val="00DA296A"/>
    <w:rsid w:val="00DA2CBF"/>
    <w:rsid w:val="00DA361F"/>
    <w:rsid w:val="00DA3954"/>
    <w:rsid w:val="00DA3C04"/>
    <w:rsid w:val="00DA5B93"/>
    <w:rsid w:val="00DA62D8"/>
    <w:rsid w:val="00DA6667"/>
    <w:rsid w:val="00DA6DFA"/>
    <w:rsid w:val="00DA754F"/>
    <w:rsid w:val="00DB0363"/>
    <w:rsid w:val="00DB0743"/>
    <w:rsid w:val="00DB35BA"/>
    <w:rsid w:val="00DB410B"/>
    <w:rsid w:val="00DB4CAE"/>
    <w:rsid w:val="00DB4CD6"/>
    <w:rsid w:val="00DB7224"/>
    <w:rsid w:val="00DB7D1B"/>
    <w:rsid w:val="00DC06B7"/>
    <w:rsid w:val="00DC140F"/>
    <w:rsid w:val="00DC1937"/>
    <w:rsid w:val="00DC1ECF"/>
    <w:rsid w:val="00DC1FFB"/>
    <w:rsid w:val="00DC2641"/>
    <w:rsid w:val="00DC2AE1"/>
    <w:rsid w:val="00DC337A"/>
    <w:rsid w:val="00DC55FF"/>
    <w:rsid w:val="00DD1107"/>
    <w:rsid w:val="00DD2562"/>
    <w:rsid w:val="00DD3709"/>
    <w:rsid w:val="00DD494D"/>
    <w:rsid w:val="00DD4BE4"/>
    <w:rsid w:val="00DD6287"/>
    <w:rsid w:val="00DD6D9B"/>
    <w:rsid w:val="00DE3AA6"/>
    <w:rsid w:val="00DE429B"/>
    <w:rsid w:val="00DE4373"/>
    <w:rsid w:val="00DE4DDD"/>
    <w:rsid w:val="00DE54FC"/>
    <w:rsid w:val="00DF0CC5"/>
    <w:rsid w:val="00DF1368"/>
    <w:rsid w:val="00DF1E1A"/>
    <w:rsid w:val="00DF3B89"/>
    <w:rsid w:val="00DF57A8"/>
    <w:rsid w:val="00DF76BD"/>
    <w:rsid w:val="00E00AD9"/>
    <w:rsid w:val="00E0229E"/>
    <w:rsid w:val="00E02F73"/>
    <w:rsid w:val="00E030FF"/>
    <w:rsid w:val="00E04C14"/>
    <w:rsid w:val="00E04E09"/>
    <w:rsid w:val="00E07EB0"/>
    <w:rsid w:val="00E11A8D"/>
    <w:rsid w:val="00E123F1"/>
    <w:rsid w:val="00E12D39"/>
    <w:rsid w:val="00E135FE"/>
    <w:rsid w:val="00E13637"/>
    <w:rsid w:val="00E14239"/>
    <w:rsid w:val="00E14DF3"/>
    <w:rsid w:val="00E15200"/>
    <w:rsid w:val="00E15422"/>
    <w:rsid w:val="00E16E08"/>
    <w:rsid w:val="00E17A69"/>
    <w:rsid w:val="00E20138"/>
    <w:rsid w:val="00E2083F"/>
    <w:rsid w:val="00E20894"/>
    <w:rsid w:val="00E2160B"/>
    <w:rsid w:val="00E23778"/>
    <w:rsid w:val="00E2409C"/>
    <w:rsid w:val="00E2475A"/>
    <w:rsid w:val="00E2501E"/>
    <w:rsid w:val="00E255ED"/>
    <w:rsid w:val="00E26C0B"/>
    <w:rsid w:val="00E303DF"/>
    <w:rsid w:val="00E30888"/>
    <w:rsid w:val="00E30EFB"/>
    <w:rsid w:val="00E312B2"/>
    <w:rsid w:val="00E31A4F"/>
    <w:rsid w:val="00E322C7"/>
    <w:rsid w:val="00E330ED"/>
    <w:rsid w:val="00E335AD"/>
    <w:rsid w:val="00E33B05"/>
    <w:rsid w:val="00E33EC3"/>
    <w:rsid w:val="00E36A57"/>
    <w:rsid w:val="00E36F5E"/>
    <w:rsid w:val="00E36F61"/>
    <w:rsid w:val="00E371F2"/>
    <w:rsid w:val="00E403CD"/>
    <w:rsid w:val="00E40D2E"/>
    <w:rsid w:val="00E413AB"/>
    <w:rsid w:val="00E41981"/>
    <w:rsid w:val="00E41D3A"/>
    <w:rsid w:val="00E42372"/>
    <w:rsid w:val="00E42641"/>
    <w:rsid w:val="00E428F4"/>
    <w:rsid w:val="00E44CCF"/>
    <w:rsid w:val="00E45004"/>
    <w:rsid w:val="00E472B9"/>
    <w:rsid w:val="00E4742B"/>
    <w:rsid w:val="00E50A1B"/>
    <w:rsid w:val="00E50B6F"/>
    <w:rsid w:val="00E50F84"/>
    <w:rsid w:val="00E511D8"/>
    <w:rsid w:val="00E51340"/>
    <w:rsid w:val="00E51D72"/>
    <w:rsid w:val="00E52D00"/>
    <w:rsid w:val="00E536B2"/>
    <w:rsid w:val="00E53D1C"/>
    <w:rsid w:val="00E5451D"/>
    <w:rsid w:val="00E54F15"/>
    <w:rsid w:val="00E5528A"/>
    <w:rsid w:val="00E55453"/>
    <w:rsid w:val="00E56123"/>
    <w:rsid w:val="00E56D97"/>
    <w:rsid w:val="00E61CF8"/>
    <w:rsid w:val="00E61D57"/>
    <w:rsid w:val="00E63B12"/>
    <w:rsid w:val="00E65154"/>
    <w:rsid w:val="00E659D6"/>
    <w:rsid w:val="00E6779B"/>
    <w:rsid w:val="00E70C96"/>
    <w:rsid w:val="00E70FFE"/>
    <w:rsid w:val="00E71BA4"/>
    <w:rsid w:val="00E730D2"/>
    <w:rsid w:val="00E757A3"/>
    <w:rsid w:val="00E75CEE"/>
    <w:rsid w:val="00E768FB"/>
    <w:rsid w:val="00E80CC3"/>
    <w:rsid w:val="00E82126"/>
    <w:rsid w:val="00E8218C"/>
    <w:rsid w:val="00E824DC"/>
    <w:rsid w:val="00E82A82"/>
    <w:rsid w:val="00E87757"/>
    <w:rsid w:val="00E91A10"/>
    <w:rsid w:val="00E934B1"/>
    <w:rsid w:val="00E937D3"/>
    <w:rsid w:val="00E93C56"/>
    <w:rsid w:val="00E952A7"/>
    <w:rsid w:val="00E95A81"/>
    <w:rsid w:val="00E95A9A"/>
    <w:rsid w:val="00E9718D"/>
    <w:rsid w:val="00E97DA4"/>
    <w:rsid w:val="00EA1091"/>
    <w:rsid w:val="00EA2124"/>
    <w:rsid w:val="00EA2EF3"/>
    <w:rsid w:val="00EA461E"/>
    <w:rsid w:val="00EA5E9A"/>
    <w:rsid w:val="00EA5F5A"/>
    <w:rsid w:val="00EA633A"/>
    <w:rsid w:val="00EA67C5"/>
    <w:rsid w:val="00EA6F29"/>
    <w:rsid w:val="00EB05F1"/>
    <w:rsid w:val="00EB0AD9"/>
    <w:rsid w:val="00EB13DD"/>
    <w:rsid w:val="00EB1DBD"/>
    <w:rsid w:val="00EB557F"/>
    <w:rsid w:val="00EB57B0"/>
    <w:rsid w:val="00EC021D"/>
    <w:rsid w:val="00EC16E7"/>
    <w:rsid w:val="00EC19CD"/>
    <w:rsid w:val="00EC33EA"/>
    <w:rsid w:val="00EC3988"/>
    <w:rsid w:val="00EC3FAA"/>
    <w:rsid w:val="00EC4B65"/>
    <w:rsid w:val="00EC5C7D"/>
    <w:rsid w:val="00EC6D6B"/>
    <w:rsid w:val="00ED1CAA"/>
    <w:rsid w:val="00ED2051"/>
    <w:rsid w:val="00ED2891"/>
    <w:rsid w:val="00ED2AD2"/>
    <w:rsid w:val="00ED321A"/>
    <w:rsid w:val="00ED3400"/>
    <w:rsid w:val="00ED3CF1"/>
    <w:rsid w:val="00ED3EA7"/>
    <w:rsid w:val="00ED3FF7"/>
    <w:rsid w:val="00ED75AB"/>
    <w:rsid w:val="00EE0270"/>
    <w:rsid w:val="00EE08A4"/>
    <w:rsid w:val="00EE0AE5"/>
    <w:rsid w:val="00EE77F6"/>
    <w:rsid w:val="00EF1176"/>
    <w:rsid w:val="00EF22DB"/>
    <w:rsid w:val="00EF5E6D"/>
    <w:rsid w:val="00EF6049"/>
    <w:rsid w:val="00EF665A"/>
    <w:rsid w:val="00EF6A92"/>
    <w:rsid w:val="00EF7D28"/>
    <w:rsid w:val="00F01C62"/>
    <w:rsid w:val="00F02303"/>
    <w:rsid w:val="00F0235D"/>
    <w:rsid w:val="00F02680"/>
    <w:rsid w:val="00F03E5D"/>
    <w:rsid w:val="00F0493D"/>
    <w:rsid w:val="00F04EE5"/>
    <w:rsid w:val="00F069FB"/>
    <w:rsid w:val="00F07122"/>
    <w:rsid w:val="00F11C79"/>
    <w:rsid w:val="00F120BA"/>
    <w:rsid w:val="00F121ED"/>
    <w:rsid w:val="00F12241"/>
    <w:rsid w:val="00F1232B"/>
    <w:rsid w:val="00F13678"/>
    <w:rsid w:val="00F13B8F"/>
    <w:rsid w:val="00F13E56"/>
    <w:rsid w:val="00F14ED4"/>
    <w:rsid w:val="00F14FA9"/>
    <w:rsid w:val="00F150DC"/>
    <w:rsid w:val="00F168DB"/>
    <w:rsid w:val="00F16A66"/>
    <w:rsid w:val="00F20FE2"/>
    <w:rsid w:val="00F2248F"/>
    <w:rsid w:val="00F23374"/>
    <w:rsid w:val="00F26090"/>
    <w:rsid w:val="00F26BC1"/>
    <w:rsid w:val="00F304D6"/>
    <w:rsid w:val="00F32CA6"/>
    <w:rsid w:val="00F338BE"/>
    <w:rsid w:val="00F33B97"/>
    <w:rsid w:val="00F34B46"/>
    <w:rsid w:val="00F35313"/>
    <w:rsid w:val="00F359F9"/>
    <w:rsid w:val="00F35C91"/>
    <w:rsid w:val="00F3661B"/>
    <w:rsid w:val="00F3BA6B"/>
    <w:rsid w:val="00F4196C"/>
    <w:rsid w:val="00F41D22"/>
    <w:rsid w:val="00F42EE8"/>
    <w:rsid w:val="00F4302E"/>
    <w:rsid w:val="00F4315C"/>
    <w:rsid w:val="00F438CF"/>
    <w:rsid w:val="00F47879"/>
    <w:rsid w:val="00F50B84"/>
    <w:rsid w:val="00F513BB"/>
    <w:rsid w:val="00F514E0"/>
    <w:rsid w:val="00F52ECB"/>
    <w:rsid w:val="00F533BE"/>
    <w:rsid w:val="00F55394"/>
    <w:rsid w:val="00F564E8"/>
    <w:rsid w:val="00F60629"/>
    <w:rsid w:val="00F62140"/>
    <w:rsid w:val="00F62CAD"/>
    <w:rsid w:val="00F62F8D"/>
    <w:rsid w:val="00F6446C"/>
    <w:rsid w:val="00F667E9"/>
    <w:rsid w:val="00F705A4"/>
    <w:rsid w:val="00F70818"/>
    <w:rsid w:val="00F70EE1"/>
    <w:rsid w:val="00F71FC3"/>
    <w:rsid w:val="00F72CDC"/>
    <w:rsid w:val="00F72E05"/>
    <w:rsid w:val="00F74CAC"/>
    <w:rsid w:val="00F74F38"/>
    <w:rsid w:val="00F75905"/>
    <w:rsid w:val="00F76335"/>
    <w:rsid w:val="00F777D9"/>
    <w:rsid w:val="00F81BD8"/>
    <w:rsid w:val="00F82035"/>
    <w:rsid w:val="00F82983"/>
    <w:rsid w:val="00F82E3F"/>
    <w:rsid w:val="00F83168"/>
    <w:rsid w:val="00F83452"/>
    <w:rsid w:val="00F84931"/>
    <w:rsid w:val="00F85F6F"/>
    <w:rsid w:val="00F86AA1"/>
    <w:rsid w:val="00F87030"/>
    <w:rsid w:val="00F87240"/>
    <w:rsid w:val="00F913B6"/>
    <w:rsid w:val="00F916C2"/>
    <w:rsid w:val="00F917BC"/>
    <w:rsid w:val="00F9183A"/>
    <w:rsid w:val="00F91884"/>
    <w:rsid w:val="00F93670"/>
    <w:rsid w:val="00F93CCC"/>
    <w:rsid w:val="00F964E7"/>
    <w:rsid w:val="00F97A39"/>
    <w:rsid w:val="00F97A49"/>
    <w:rsid w:val="00F97F80"/>
    <w:rsid w:val="00FA05C9"/>
    <w:rsid w:val="00FA1D5A"/>
    <w:rsid w:val="00FA250C"/>
    <w:rsid w:val="00FA31D0"/>
    <w:rsid w:val="00FA404A"/>
    <w:rsid w:val="00FA49D4"/>
    <w:rsid w:val="00FA52B1"/>
    <w:rsid w:val="00FA7357"/>
    <w:rsid w:val="00FA78F8"/>
    <w:rsid w:val="00FA7CE7"/>
    <w:rsid w:val="00FAE764"/>
    <w:rsid w:val="00FB007E"/>
    <w:rsid w:val="00FB0565"/>
    <w:rsid w:val="00FB092F"/>
    <w:rsid w:val="00FB0CA6"/>
    <w:rsid w:val="00FB13A7"/>
    <w:rsid w:val="00FB1905"/>
    <w:rsid w:val="00FB254F"/>
    <w:rsid w:val="00FB2F6B"/>
    <w:rsid w:val="00FB3C72"/>
    <w:rsid w:val="00FB3CCE"/>
    <w:rsid w:val="00FB58A9"/>
    <w:rsid w:val="00FB6D93"/>
    <w:rsid w:val="00FB76FF"/>
    <w:rsid w:val="00FB7F15"/>
    <w:rsid w:val="00FC0335"/>
    <w:rsid w:val="00FC17D0"/>
    <w:rsid w:val="00FC1F6B"/>
    <w:rsid w:val="00FC1F8A"/>
    <w:rsid w:val="00FC2ED6"/>
    <w:rsid w:val="00FC33AF"/>
    <w:rsid w:val="00FC51ED"/>
    <w:rsid w:val="00FC5A1C"/>
    <w:rsid w:val="00FC5AB9"/>
    <w:rsid w:val="00FC5BF4"/>
    <w:rsid w:val="00FC5D13"/>
    <w:rsid w:val="00FC6B5B"/>
    <w:rsid w:val="00FC6DA1"/>
    <w:rsid w:val="00FC719B"/>
    <w:rsid w:val="00FC7792"/>
    <w:rsid w:val="00FD2862"/>
    <w:rsid w:val="00FD37E6"/>
    <w:rsid w:val="00FD3854"/>
    <w:rsid w:val="00FD3CCA"/>
    <w:rsid w:val="00FD4E8C"/>
    <w:rsid w:val="00FD62A5"/>
    <w:rsid w:val="00FD68CF"/>
    <w:rsid w:val="00FD733C"/>
    <w:rsid w:val="00FD748F"/>
    <w:rsid w:val="00FD7C27"/>
    <w:rsid w:val="00FD7E62"/>
    <w:rsid w:val="00FE001A"/>
    <w:rsid w:val="00FE0443"/>
    <w:rsid w:val="00FE09EB"/>
    <w:rsid w:val="00FE109C"/>
    <w:rsid w:val="00FE1804"/>
    <w:rsid w:val="00FE1CCE"/>
    <w:rsid w:val="00FE2471"/>
    <w:rsid w:val="00FE29F9"/>
    <w:rsid w:val="00FE37AD"/>
    <w:rsid w:val="00FE7640"/>
    <w:rsid w:val="00FF0375"/>
    <w:rsid w:val="00FF05FC"/>
    <w:rsid w:val="00FF18B9"/>
    <w:rsid w:val="00FF2A49"/>
    <w:rsid w:val="00FF361F"/>
    <w:rsid w:val="00FF3708"/>
    <w:rsid w:val="00FF3A81"/>
    <w:rsid w:val="00FF56CD"/>
    <w:rsid w:val="00FF5A67"/>
    <w:rsid w:val="00FF5C3B"/>
    <w:rsid w:val="00FF6A13"/>
    <w:rsid w:val="0152B37E"/>
    <w:rsid w:val="017FE9F2"/>
    <w:rsid w:val="019A6898"/>
    <w:rsid w:val="01A4A7B3"/>
    <w:rsid w:val="01C6102A"/>
    <w:rsid w:val="023D5B0B"/>
    <w:rsid w:val="02584408"/>
    <w:rsid w:val="02706457"/>
    <w:rsid w:val="02948073"/>
    <w:rsid w:val="02B11799"/>
    <w:rsid w:val="02C79AA3"/>
    <w:rsid w:val="031B7BDB"/>
    <w:rsid w:val="03586D62"/>
    <w:rsid w:val="036B0F20"/>
    <w:rsid w:val="036E74B1"/>
    <w:rsid w:val="036EA050"/>
    <w:rsid w:val="03856F9A"/>
    <w:rsid w:val="03AA9240"/>
    <w:rsid w:val="03B6887C"/>
    <w:rsid w:val="03C179EC"/>
    <w:rsid w:val="03DD527F"/>
    <w:rsid w:val="040C5EF3"/>
    <w:rsid w:val="04244A6C"/>
    <w:rsid w:val="043AD912"/>
    <w:rsid w:val="04418B4A"/>
    <w:rsid w:val="04A8FE40"/>
    <w:rsid w:val="04D79D1D"/>
    <w:rsid w:val="04E1426C"/>
    <w:rsid w:val="04F4880B"/>
    <w:rsid w:val="04F80CB2"/>
    <w:rsid w:val="05003B1F"/>
    <w:rsid w:val="05913E18"/>
    <w:rsid w:val="059E64DE"/>
    <w:rsid w:val="05F3AECE"/>
    <w:rsid w:val="061CD19D"/>
    <w:rsid w:val="0625217F"/>
    <w:rsid w:val="06712193"/>
    <w:rsid w:val="068166C8"/>
    <w:rsid w:val="06E671F3"/>
    <w:rsid w:val="06F806A5"/>
    <w:rsid w:val="0703FF40"/>
    <w:rsid w:val="070C9F7E"/>
    <w:rsid w:val="07331EFA"/>
    <w:rsid w:val="0754B138"/>
    <w:rsid w:val="07B4DA6D"/>
    <w:rsid w:val="07BA6059"/>
    <w:rsid w:val="07D38E8F"/>
    <w:rsid w:val="07D7CEEB"/>
    <w:rsid w:val="080706C1"/>
    <w:rsid w:val="080C70A1"/>
    <w:rsid w:val="08145827"/>
    <w:rsid w:val="081E492E"/>
    <w:rsid w:val="08435CE3"/>
    <w:rsid w:val="0845280F"/>
    <w:rsid w:val="084F68C4"/>
    <w:rsid w:val="0902C754"/>
    <w:rsid w:val="09063554"/>
    <w:rsid w:val="090EE43F"/>
    <w:rsid w:val="0915AFC7"/>
    <w:rsid w:val="092CCFAD"/>
    <w:rsid w:val="09930107"/>
    <w:rsid w:val="0A17E5A0"/>
    <w:rsid w:val="0A440539"/>
    <w:rsid w:val="0A5B87F3"/>
    <w:rsid w:val="0A62781A"/>
    <w:rsid w:val="0B1406A9"/>
    <w:rsid w:val="0B1E56CF"/>
    <w:rsid w:val="0B46DFF3"/>
    <w:rsid w:val="0BC5E3EF"/>
    <w:rsid w:val="0C025946"/>
    <w:rsid w:val="0C1A6356"/>
    <w:rsid w:val="0C2BA64C"/>
    <w:rsid w:val="0C2CF099"/>
    <w:rsid w:val="0C587650"/>
    <w:rsid w:val="0CC4DB1B"/>
    <w:rsid w:val="0D0E45F6"/>
    <w:rsid w:val="0D448CF6"/>
    <w:rsid w:val="0D76E1E2"/>
    <w:rsid w:val="0DE61288"/>
    <w:rsid w:val="0DE7B7E6"/>
    <w:rsid w:val="0DE8BE5E"/>
    <w:rsid w:val="0E2AEB50"/>
    <w:rsid w:val="0E86FCB9"/>
    <w:rsid w:val="0E99C4F9"/>
    <w:rsid w:val="0E9B2DB0"/>
    <w:rsid w:val="0EA64C34"/>
    <w:rsid w:val="0EF7E2FE"/>
    <w:rsid w:val="0F2904D3"/>
    <w:rsid w:val="0F370C6F"/>
    <w:rsid w:val="0F69C172"/>
    <w:rsid w:val="0F84817D"/>
    <w:rsid w:val="0FFDD264"/>
    <w:rsid w:val="100F6734"/>
    <w:rsid w:val="104CD612"/>
    <w:rsid w:val="1099E584"/>
    <w:rsid w:val="10A49B9C"/>
    <w:rsid w:val="10A6E0B0"/>
    <w:rsid w:val="10C21E57"/>
    <w:rsid w:val="10D117DE"/>
    <w:rsid w:val="10F9BBBA"/>
    <w:rsid w:val="11077A50"/>
    <w:rsid w:val="1114F972"/>
    <w:rsid w:val="11237E71"/>
    <w:rsid w:val="112B82CC"/>
    <w:rsid w:val="11380029"/>
    <w:rsid w:val="11873DC4"/>
    <w:rsid w:val="11982BBE"/>
    <w:rsid w:val="11B369E9"/>
    <w:rsid w:val="11C6D027"/>
    <w:rsid w:val="1210F342"/>
    <w:rsid w:val="122F2C01"/>
    <w:rsid w:val="123445BA"/>
    <w:rsid w:val="123D321B"/>
    <w:rsid w:val="1248185C"/>
    <w:rsid w:val="129C6430"/>
    <w:rsid w:val="12A1D9F8"/>
    <w:rsid w:val="12AA9382"/>
    <w:rsid w:val="12BDDFDF"/>
    <w:rsid w:val="12C1594F"/>
    <w:rsid w:val="12C25AFF"/>
    <w:rsid w:val="12C32369"/>
    <w:rsid w:val="12C7532D"/>
    <w:rsid w:val="12DA365B"/>
    <w:rsid w:val="1326ABC2"/>
    <w:rsid w:val="1362D54F"/>
    <w:rsid w:val="13721AD2"/>
    <w:rsid w:val="13BD8973"/>
    <w:rsid w:val="13EE65F2"/>
    <w:rsid w:val="144F54C2"/>
    <w:rsid w:val="145A4C3A"/>
    <w:rsid w:val="1475F507"/>
    <w:rsid w:val="14A7BEFC"/>
    <w:rsid w:val="14BE2A8B"/>
    <w:rsid w:val="14C42B1B"/>
    <w:rsid w:val="14D5E3D0"/>
    <w:rsid w:val="150A145D"/>
    <w:rsid w:val="1517C28A"/>
    <w:rsid w:val="15204587"/>
    <w:rsid w:val="154B2483"/>
    <w:rsid w:val="154BFDBE"/>
    <w:rsid w:val="1550C46A"/>
    <w:rsid w:val="157C8A5E"/>
    <w:rsid w:val="1584F5B9"/>
    <w:rsid w:val="159985B4"/>
    <w:rsid w:val="15D0BD28"/>
    <w:rsid w:val="15DFB6C5"/>
    <w:rsid w:val="15E83BFB"/>
    <w:rsid w:val="15F14F85"/>
    <w:rsid w:val="15F87A98"/>
    <w:rsid w:val="1611298C"/>
    <w:rsid w:val="1612DB65"/>
    <w:rsid w:val="161873C7"/>
    <w:rsid w:val="165FFB7C"/>
    <w:rsid w:val="166E370F"/>
    <w:rsid w:val="166FEF3B"/>
    <w:rsid w:val="1677436E"/>
    <w:rsid w:val="16AEBC12"/>
    <w:rsid w:val="16F8EF56"/>
    <w:rsid w:val="1721DF73"/>
    <w:rsid w:val="1732BEBC"/>
    <w:rsid w:val="1740100B"/>
    <w:rsid w:val="176386A9"/>
    <w:rsid w:val="1770C107"/>
    <w:rsid w:val="17720D5E"/>
    <w:rsid w:val="1794214F"/>
    <w:rsid w:val="17B5DF37"/>
    <w:rsid w:val="17C202EB"/>
    <w:rsid w:val="17D96BDE"/>
    <w:rsid w:val="17F4BAF1"/>
    <w:rsid w:val="17FEF5D7"/>
    <w:rsid w:val="180E3C24"/>
    <w:rsid w:val="183A27D6"/>
    <w:rsid w:val="183C9A4D"/>
    <w:rsid w:val="18632EAE"/>
    <w:rsid w:val="1878EC71"/>
    <w:rsid w:val="18798657"/>
    <w:rsid w:val="187DA7DE"/>
    <w:rsid w:val="18BBE96C"/>
    <w:rsid w:val="18C33C6D"/>
    <w:rsid w:val="18E7E230"/>
    <w:rsid w:val="18FCA73C"/>
    <w:rsid w:val="19216B7F"/>
    <w:rsid w:val="19737410"/>
    <w:rsid w:val="19A3A2BC"/>
    <w:rsid w:val="19B48A99"/>
    <w:rsid w:val="19BEA1DC"/>
    <w:rsid w:val="19E06887"/>
    <w:rsid w:val="19EFA857"/>
    <w:rsid w:val="1A014AFF"/>
    <w:rsid w:val="1A149D06"/>
    <w:rsid w:val="1A5209A7"/>
    <w:rsid w:val="1A98779D"/>
    <w:rsid w:val="1AAAA3E5"/>
    <w:rsid w:val="1AC93C3E"/>
    <w:rsid w:val="1B3AB16E"/>
    <w:rsid w:val="1B453B3D"/>
    <w:rsid w:val="1B72D4B5"/>
    <w:rsid w:val="1BFA41EB"/>
    <w:rsid w:val="1C4B2B8C"/>
    <w:rsid w:val="1C7A052C"/>
    <w:rsid w:val="1C8C25C9"/>
    <w:rsid w:val="1C8EC672"/>
    <w:rsid w:val="1C99C098"/>
    <w:rsid w:val="1CD6BC51"/>
    <w:rsid w:val="1CEC1F05"/>
    <w:rsid w:val="1D043E33"/>
    <w:rsid w:val="1D5C68C0"/>
    <w:rsid w:val="1D653AA4"/>
    <w:rsid w:val="1D82B9FD"/>
    <w:rsid w:val="1D85B231"/>
    <w:rsid w:val="1D8F48DA"/>
    <w:rsid w:val="1D8FC8E1"/>
    <w:rsid w:val="1DA6D587"/>
    <w:rsid w:val="1DAE2CE4"/>
    <w:rsid w:val="1DB16FF6"/>
    <w:rsid w:val="1DB58FA4"/>
    <w:rsid w:val="1E0B996B"/>
    <w:rsid w:val="1E45F4D2"/>
    <w:rsid w:val="1E4EF122"/>
    <w:rsid w:val="1E667EFD"/>
    <w:rsid w:val="1E98AAE1"/>
    <w:rsid w:val="1E9ADEA6"/>
    <w:rsid w:val="1EA8DDDB"/>
    <w:rsid w:val="1F3ED90A"/>
    <w:rsid w:val="1F71DA82"/>
    <w:rsid w:val="1FB743DD"/>
    <w:rsid w:val="1FCBA097"/>
    <w:rsid w:val="1FFFC6E4"/>
    <w:rsid w:val="20223C92"/>
    <w:rsid w:val="202B6BF3"/>
    <w:rsid w:val="20488D03"/>
    <w:rsid w:val="2076BBD6"/>
    <w:rsid w:val="20B6CEEA"/>
    <w:rsid w:val="20CE9586"/>
    <w:rsid w:val="20E59150"/>
    <w:rsid w:val="211134BE"/>
    <w:rsid w:val="2138CF42"/>
    <w:rsid w:val="2138FA24"/>
    <w:rsid w:val="2209E5E2"/>
    <w:rsid w:val="2226EE74"/>
    <w:rsid w:val="223FA23F"/>
    <w:rsid w:val="225D6DED"/>
    <w:rsid w:val="2284C71F"/>
    <w:rsid w:val="228F8E79"/>
    <w:rsid w:val="229F6BF3"/>
    <w:rsid w:val="22B778D1"/>
    <w:rsid w:val="237093C3"/>
    <w:rsid w:val="2371071F"/>
    <w:rsid w:val="237567C2"/>
    <w:rsid w:val="23E01468"/>
    <w:rsid w:val="23E45717"/>
    <w:rsid w:val="23FAC8B5"/>
    <w:rsid w:val="244214DE"/>
    <w:rsid w:val="249A5B6D"/>
    <w:rsid w:val="24BEDE26"/>
    <w:rsid w:val="24C65B9E"/>
    <w:rsid w:val="24D58A34"/>
    <w:rsid w:val="24DB6628"/>
    <w:rsid w:val="250153E2"/>
    <w:rsid w:val="251BAE39"/>
    <w:rsid w:val="254F9389"/>
    <w:rsid w:val="25973640"/>
    <w:rsid w:val="25A4D9D5"/>
    <w:rsid w:val="25BA3D9D"/>
    <w:rsid w:val="25D27734"/>
    <w:rsid w:val="25E07F83"/>
    <w:rsid w:val="25E3B223"/>
    <w:rsid w:val="265A59E6"/>
    <w:rsid w:val="26850022"/>
    <w:rsid w:val="2694E3ED"/>
    <w:rsid w:val="26ADF4DF"/>
    <w:rsid w:val="26B0E07C"/>
    <w:rsid w:val="27213328"/>
    <w:rsid w:val="273738F4"/>
    <w:rsid w:val="273F78E6"/>
    <w:rsid w:val="279C5142"/>
    <w:rsid w:val="27CA219A"/>
    <w:rsid w:val="27DBD0F5"/>
    <w:rsid w:val="27FA1F3F"/>
    <w:rsid w:val="2804578B"/>
    <w:rsid w:val="28112AB1"/>
    <w:rsid w:val="28161178"/>
    <w:rsid w:val="283B7AD7"/>
    <w:rsid w:val="2856E6E0"/>
    <w:rsid w:val="28A91D02"/>
    <w:rsid w:val="292D006B"/>
    <w:rsid w:val="29C3BCCD"/>
    <w:rsid w:val="29F02823"/>
    <w:rsid w:val="2A1555D7"/>
    <w:rsid w:val="2A2C5D90"/>
    <w:rsid w:val="2A4F7A74"/>
    <w:rsid w:val="2A6E69C9"/>
    <w:rsid w:val="2AF6175E"/>
    <w:rsid w:val="2B63FE96"/>
    <w:rsid w:val="2B8E4303"/>
    <w:rsid w:val="2BBD93CC"/>
    <w:rsid w:val="2BD87757"/>
    <w:rsid w:val="2C2E1569"/>
    <w:rsid w:val="2C3DAA20"/>
    <w:rsid w:val="2C45B0E2"/>
    <w:rsid w:val="2C49C0C1"/>
    <w:rsid w:val="2C54AB85"/>
    <w:rsid w:val="2C64484A"/>
    <w:rsid w:val="2C779962"/>
    <w:rsid w:val="2CC0AAAE"/>
    <w:rsid w:val="2CCF0E38"/>
    <w:rsid w:val="2CD864DA"/>
    <w:rsid w:val="2CDAA6DA"/>
    <w:rsid w:val="2CF149C2"/>
    <w:rsid w:val="2D3901C5"/>
    <w:rsid w:val="2D62B230"/>
    <w:rsid w:val="2D87909F"/>
    <w:rsid w:val="2D9088B1"/>
    <w:rsid w:val="2DAB0540"/>
    <w:rsid w:val="2DB2427B"/>
    <w:rsid w:val="2DCD13CC"/>
    <w:rsid w:val="2DE55896"/>
    <w:rsid w:val="2E02A884"/>
    <w:rsid w:val="2E0BF34D"/>
    <w:rsid w:val="2E301A4A"/>
    <w:rsid w:val="2E368F74"/>
    <w:rsid w:val="2E5CCE60"/>
    <w:rsid w:val="2E9D7E77"/>
    <w:rsid w:val="2EB7013F"/>
    <w:rsid w:val="2F00E841"/>
    <w:rsid w:val="2F08E205"/>
    <w:rsid w:val="2F2E2CFB"/>
    <w:rsid w:val="2F400A30"/>
    <w:rsid w:val="2F520169"/>
    <w:rsid w:val="2F87B0D5"/>
    <w:rsid w:val="2FC6B143"/>
    <w:rsid w:val="2FD4FED4"/>
    <w:rsid w:val="2FE3EDFA"/>
    <w:rsid w:val="3002C234"/>
    <w:rsid w:val="302056D7"/>
    <w:rsid w:val="3055AA5E"/>
    <w:rsid w:val="307495D1"/>
    <w:rsid w:val="3098F18B"/>
    <w:rsid w:val="30C09893"/>
    <w:rsid w:val="30E91A06"/>
    <w:rsid w:val="3119D62E"/>
    <w:rsid w:val="31544ADA"/>
    <w:rsid w:val="3169210E"/>
    <w:rsid w:val="317A2D33"/>
    <w:rsid w:val="31DACAB4"/>
    <w:rsid w:val="31EF780D"/>
    <w:rsid w:val="3202B682"/>
    <w:rsid w:val="32060CE0"/>
    <w:rsid w:val="32086047"/>
    <w:rsid w:val="32249574"/>
    <w:rsid w:val="322BB8B1"/>
    <w:rsid w:val="323A3904"/>
    <w:rsid w:val="32552481"/>
    <w:rsid w:val="326697C4"/>
    <w:rsid w:val="327B3F45"/>
    <w:rsid w:val="3287BC2F"/>
    <w:rsid w:val="32CC5A9F"/>
    <w:rsid w:val="330D8CA8"/>
    <w:rsid w:val="330F5909"/>
    <w:rsid w:val="3311CCA2"/>
    <w:rsid w:val="332F0ECA"/>
    <w:rsid w:val="3357B3FF"/>
    <w:rsid w:val="33767F90"/>
    <w:rsid w:val="3384A645"/>
    <w:rsid w:val="3392AA17"/>
    <w:rsid w:val="33E0C6ED"/>
    <w:rsid w:val="342C517C"/>
    <w:rsid w:val="345E7BB9"/>
    <w:rsid w:val="3469CB49"/>
    <w:rsid w:val="3474F450"/>
    <w:rsid w:val="34A545A7"/>
    <w:rsid w:val="34AFFCA2"/>
    <w:rsid w:val="34BCC057"/>
    <w:rsid w:val="354007E3"/>
    <w:rsid w:val="3565AC43"/>
    <w:rsid w:val="358E2BE6"/>
    <w:rsid w:val="35914AA0"/>
    <w:rsid w:val="35998A95"/>
    <w:rsid w:val="35E0374E"/>
    <w:rsid w:val="35E104FA"/>
    <w:rsid w:val="36082D3F"/>
    <w:rsid w:val="3615EDE9"/>
    <w:rsid w:val="366DF25D"/>
    <w:rsid w:val="367F04D7"/>
    <w:rsid w:val="36A40FD3"/>
    <w:rsid w:val="36F41509"/>
    <w:rsid w:val="37042202"/>
    <w:rsid w:val="3713B5E4"/>
    <w:rsid w:val="37325641"/>
    <w:rsid w:val="373A9257"/>
    <w:rsid w:val="374A7BEB"/>
    <w:rsid w:val="3753D6CE"/>
    <w:rsid w:val="37734954"/>
    <w:rsid w:val="3783EDF5"/>
    <w:rsid w:val="37AC93E1"/>
    <w:rsid w:val="37F18FA2"/>
    <w:rsid w:val="380695DB"/>
    <w:rsid w:val="381F3CE9"/>
    <w:rsid w:val="38990A2B"/>
    <w:rsid w:val="38A31991"/>
    <w:rsid w:val="38B84B14"/>
    <w:rsid w:val="390013B9"/>
    <w:rsid w:val="390F6178"/>
    <w:rsid w:val="393CDAA4"/>
    <w:rsid w:val="39D142AC"/>
    <w:rsid w:val="39FED549"/>
    <w:rsid w:val="3A0F139F"/>
    <w:rsid w:val="3A29A1B6"/>
    <w:rsid w:val="3A2EB8C5"/>
    <w:rsid w:val="3A48A7AC"/>
    <w:rsid w:val="3A4CB974"/>
    <w:rsid w:val="3A942BC6"/>
    <w:rsid w:val="3AA75E41"/>
    <w:rsid w:val="3ABEF20C"/>
    <w:rsid w:val="3B0AC254"/>
    <w:rsid w:val="3B21720E"/>
    <w:rsid w:val="3B29E459"/>
    <w:rsid w:val="3B2C3714"/>
    <w:rsid w:val="3B499548"/>
    <w:rsid w:val="3BDAED86"/>
    <w:rsid w:val="3BFE7A7C"/>
    <w:rsid w:val="3C15363A"/>
    <w:rsid w:val="3C1D9764"/>
    <w:rsid w:val="3C82D505"/>
    <w:rsid w:val="3C9A3694"/>
    <w:rsid w:val="3CC0F0AB"/>
    <w:rsid w:val="3CD22FD0"/>
    <w:rsid w:val="3D0C2037"/>
    <w:rsid w:val="3D87F033"/>
    <w:rsid w:val="3D8C0C97"/>
    <w:rsid w:val="3DA67B25"/>
    <w:rsid w:val="3DA9CE81"/>
    <w:rsid w:val="3DEDDBFA"/>
    <w:rsid w:val="3E11BE01"/>
    <w:rsid w:val="3E272B34"/>
    <w:rsid w:val="3E2E3861"/>
    <w:rsid w:val="3E322801"/>
    <w:rsid w:val="3E68A276"/>
    <w:rsid w:val="3E8C43BA"/>
    <w:rsid w:val="3EB07FCD"/>
    <w:rsid w:val="3EC50E34"/>
    <w:rsid w:val="3F07C58E"/>
    <w:rsid w:val="3F15973D"/>
    <w:rsid w:val="3F4EFFD6"/>
    <w:rsid w:val="3F70F0A1"/>
    <w:rsid w:val="3F8B5A5A"/>
    <w:rsid w:val="3FD9B7FE"/>
    <w:rsid w:val="4000DF29"/>
    <w:rsid w:val="40290B6C"/>
    <w:rsid w:val="4067F441"/>
    <w:rsid w:val="40793BE5"/>
    <w:rsid w:val="40B673E8"/>
    <w:rsid w:val="40B81889"/>
    <w:rsid w:val="40CCD241"/>
    <w:rsid w:val="40D7A26C"/>
    <w:rsid w:val="40FDAF40"/>
    <w:rsid w:val="4122C5DE"/>
    <w:rsid w:val="41402BF3"/>
    <w:rsid w:val="415BC7B8"/>
    <w:rsid w:val="41638478"/>
    <w:rsid w:val="419F0887"/>
    <w:rsid w:val="41BECA1C"/>
    <w:rsid w:val="41D2848C"/>
    <w:rsid w:val="41D59A54"/>
    <w:rsid w:val="41D879AD"/>
    <w:rsid w:val="423AB93E"/>
    <w:rsid w:val="42402930"/>
    <w:rsid w:val="424ACC4E"/>
    <w:rsid w:val="4267F709"/>
    <w:rsid w:val="429F82CA"/>
    <w:rsid w:val="42A37C3F"/>
    <w:rsid w:val="42B0C3A9"/>
    <w:rsid w:val="42D2DFBC"/>
    <w:rsid w:val="42DAC875"/>
    <w:rsid w:val="432632E7"/>
    <w:rsid w:val="435B6CD8"/>
    <w:rsid w:val="43D95973"/>
    <w:rsid w:val="440AF158"/>
    <w:rsid w:val="440FD696"/>
    <w:rsid w:val="4414C51C"/>
    <w:rsid w:val="44308D1D"/>
    <w:rsid w:val="44588137"/>
    <w:rsid w:val="4478581E"/>
    <w:rsid w:val="44862E18"/>
    <w:rsid w:val="44961307"/>
    <w:rsid w:val="44961F0E"/>
    <w:rsid w:val="44C110EB"/>
    <w:rsid w:val="44E2A4D0"/>
    <w:rsid w:val="4539F89B"/>
    <w:rsid w:val="457FEC5F"/>
    <w:rsid w:val="4582A4E5"/>
    <w:rsid w:val="4583E1AD"/>
    <w:rsid w:val="4588F21E"/>
    <w:rsid w:val="459D3C6E"/>
    <w:rsid w:val="459E75AB"/>
    <w:rsid w:val="45A13E39"/>
    <w:rsid w:val="45C3445E"/>
    <w:rsid w:val="45CB18CC"/>
    <w:rsid w:val="45D00C97"/>
    <w:rsid w:val="4621FC1E"/>
    <w:rsid w:val="462BE0CA"/>
    <w:rsid w:val="46D15B07"/>
    <w:rsid w:val="46DAABB2"/>
    <w:rsid w:val="46FECD9F"/>
    <w:rsid w:val="472FBFF2"/>
    <w:rsid w:val="47370A13"/>
    <w:rsid w:val="473CC0FB"/>
    <w:rsid w:val="474CA023"/>
    <w:rsid w:val="47C93C78"/>
    <w:rsid w:val="480B9D3F"/>
    <w:rsid w:val="4815ECF3"/>
    <w:rsid w:val="481883BB"/>
    <w:rsid w:val="484E3B8A"/>
    <w:rsid w:val="489F2781"/>
    <w:rsid w:val="48B7526B"/>
    <w:rsid w:val="48B7E773"/>
    <w:rsid w:val="48C42023"/>
    <w:rsid w:val="49100AB6"/>
    <w:rsid w:val="4942118F"/>
    <w:rsid w:val="495B16CB"/>
    <w:rsid w:val="49B764BE"/>
    <w:rsid w:val="49D07FAB"/>
    <w:rsid w:val="49D44022"/>
    <w:rsid w:val="49F24E09"/>
    <w:rsid w:val="49FA850C"/>
    <w:rsid w:val="4A2E6241"/>
    <w:rsid w:val="4A63DF39"/>
    <w:rsid w:val="4A79546A"/>
    <w:rsid w:val="4A9032CD"/>
    <w:rsid w:val="4AC9EDCA"/>
    <w:rsid w:val="4ADDE1F0"/>
    <w:rsid w:val="4B032F87"/>
    <w:rsid w:val="4B0F199C"/>
    <w:rsid w:val="4B555A5B"/>
    <w:rsid w:val="4B6BA13A"/>
    <w:rsid w:val="4B985FFC"/>
    <w:rsid w:val="4BD45E46"/>
    <w:rsid w:val="4BD783EA"/>
    <w:rsid w:val="4BDBA89C"/>
    <w:rsid w:val="4C2DD396"/>
    <w:rsid w:val="4C5FDF6A"/>
    <w:rsid w:val="4C66D23A"/>
    <w:rsid w:val="4C6C572E"/>
    <w:rsid w:val="4C923DD1"/>
    <w:rsid w:val="4CB6C855"/>
    <w:rsid w:val="4CC759F5"/>
    <w:rsid w:val="4CC90A33"/>
    <w:rsid w:val="4D0C33E2"/>
    <w:rsid w:val="4D283E21"/>
    <w:rsid w:val="4D2CC105"/>
    <w:rsid w:val="4D491778"/>
    <w:rsid w:val="4D54AB79"/>
    <w:rsid w:val="4D79D7B6"/>
    <w:rsid w:val="4DB80713"/>
    <w:rsid w:val="4DC4B8FB"/>
    <w:rsid w:val="4E0349D1"/>
    <w:rsid w:val="4E082910"/>
    <w:rsid w:val="4E09124B"/>
    <w:rsid w:val="4E3AAF51"/>
    <w:rsid w:val="4E797042"/>
    <w:rsid w:val="4EA58268"/>
    <w:rsid w:val="4EDC32DD"/>
    <w:rsid w:val="4EE761C6"/>
    <w:rsid w:val="4EEEC600"/>
    <w:rsid w:val="4F4CB250"/>
    <w:rsid w:val="4F6A4EA0"/>
    <w:rsid w:val="4F9382E4"/>
    <w:rsid w:val="4FA0F398"/>
    <w:rsid w:val="4FB8ACB3"/>
    <w:rsid w:val="501FC711"/>
    <w:rsid w:val="505187C6"/>
    <w:rsid w:val="5052FDCC"/>
    <w:rsid w:val="506FDCEA"/>
    <w:rsid w:val="50867B8E"/>
    <w:rsid w:val="50AFBA53"/>
    <w:rsid w:val="50E8C8BF"/>
    <w:rsid w:val="51004D58"/>
    <w:rsid w:val="51108BAA"/>
    <w:rsid w:val="51108CA5"/>
    <w:rsid w:val="51315CAF"/>
    <w:rsid w:val="5133508D"/>
    <w:rsid w:val="517598D7"/>
    <w:rsid w:val="5184CA31"/>
    <w:rsid w:val="51ADF2E0"/>
    <w:rsid w:val="51B06A7D"/>
    <w:rsid w:val="51B80494"/>
    <w:rsid w:val="51C7A731"/>
    <w:rsid w:val="51E16D2C"/>
    <w:rsid w:val="520E6AA5"/>
    <w:rsid w:val="5252484B"/>
    <w:rsid w:val="526D57AB"/>
    <w:rsid w:val="527F7AED"/>
    <w:rsid w:val="52A94F9B"/>
    <w:rsid w:val="52B37D8A"/>
    <w:rsid w:val="52B4E9E3"/>
    <w:rsid w:val="52CF20EE"/>
    <w:rsid w:val="52E739A2"/>
    <w:rsid w:val="533851E1"/>
    <w:rsid w:val="53732854"/>
    <w:rsid w:val="5386279B"/>
    <w:rsid w:val="5390AC36"/>
    <w:rsid w:val="5397B45F"/>
    <w:rsid w:val="5402E62F"/>
    <w:rsid w:val="54264B5B"/>
    <w:rsid w:val="5459AE79"/>
    <w:rsid w:val="549224DA"/>
    <w:rsid w:val="5497A4A0"/>
    <w:rsid w:val="54A11654"/>
    <w:rsid w:val="54FB3AD8"/>
    <w:rsid w:val="54FDBCE3"/>
    <w:rsid w:val="551AFB9B"/>
    <w:rsid w:val="551D08AB"/>
    <w:rsid w:val="551E1145"/>
    <w:rsid w:val="552FAF43"/>
    <w:rsid w:val="5547D942"/>
    <w:rsid w:val="5595F9FB"/>
    <w:rsid w:val="55B24CB0"/>
    <w:rsid w:val="55F91D2D"/>
    <w:rsid w:val="5609E20F"/>
    <w:rsid w:val="56308278"/>
    <w:rsid w:val="5668EDA8"/>
    <w:rsid w:val="5693C792"/>
    <w:rsid w:val="570173D6"/>
    <w:rsid w:val="5787C3EC"/>
    <w:rsid w:val="58059F4A"/>
    <w:rsid w:val="5807AC0C"/>
    <w:rsid w:val="5823E862"/>
    <w:rsid w:val="583BE033"/>
    <w:rsid w:val="58434411"/>
    <w:rsid w:val="5882C5C2"/>
    <w:rsid w:val="589F1EF7"/>
    <w:rsid w:val="58ADC0A5"/>
    <w:rsid w:val="58B12B91"/>
    <w:rsid w:val="58B54EFA"/>
    <w:rsid w:val="58BA0B70"/>
    <w:rsid w:val="58CDEDFE"/>
    <w:rsid w:val="58DAC9C7"/>
    <w:rsid w:val="58E60137"/>
    <w:rsid w:val="58EE30A2"/>
    <w:rsid w:val="5917141F"/>
    <w:rsid w:val="59A26531"/>
    <w:rsid w:val="59C1AFC4"/>
    <w:rsid w:val="59EB794A"/>
    <w:rsid w:val="5A0F9995"/>
    <w:rsid w:val="5A139532"/>
    <w:rsid w:val="5A2288B3"/>
    <w:rsid w:val="5A43EC05"/>
    <w:rsid w:val="5A495141"/>
    <w:rsid w:val="5A658309"/>
    <w:rsid w:val="5AA6844D"/>
    <w:rsid w:val="5AAAD638"/>
    <w:rsid w:val="5B165F64"/>
    <w:rsid w:val="5B7F0D22"/>
    <w:rsid w:val="5B9175D6"/>
    <w:rsid w:val="5B998058"/>
    <w:rsid w:val="5BC38065"/>
    <w:rsid w:val="5BD91724"/>
    <w:rsid w:val="5BE04C03"/>
    <w:rsid w:val="5BFCB77C"/>
    <w:rsid w:val="5C3B5577"/>
    <w:rsid w:val="5C87DDD0"/>
    <w:rsid w:val="5CDADEE2"/>
    <w:rsid w:val="5CDC3F57"/>
    <w:rsid w:val="5CDCCFD9"/>
    <w:rsid w:val="5D08945C"/>
    <w:rsid w:val="5D1B4323"/>
    <w:rsid w:val="5D277502"/>
    <w:rsid w:val="5D35F926"/>
    <w:rsid w:val="5D80D4BD"/>
    <w:rsid w:val="5D829362"/>
    <w:rsid w:val="5DA7FD0D"/>
    <w:rsid w:val="5DF919E4"/>
    <w:rsid w:val="5E2A50F0"/>
    <w:rsid w:val="5E62B88C"/>
    <w:rsid w:val="5E7674D0"/>
    <w:rsid w:val="5E7F7104"/>
    <w:rsid w:val="5E982A30"/>
    <w:rsid w:val="5E9ECE9C"/>
    <w:rsid w:val="5EB3E85D"/>
    <w:rsid w:val="5ED050FA"/>
    <w:rsid w:val="5EE4CBD4"/>
    <w:rsid w:val="5EE5886C"/>
    <w:rsid w:val="5F286B0E"/>
    <w:rsid w:val="5F2FACE6"/>
    <w:rsid w:val="5F8C05CA"/>
    <w:rsid w:val="5F8CC8A8"/>
    <w:rsid w:val="5FC2E2AC"/>
    <w:rsid w:val="5FF5C112"/>
    <w:rsid w:val="5FF95247"/>
    <w:rsid w:val="60551D24"/>
    <w:rsid w:val="606FAAB6"/>
    <w:rsid w:val="61015FAF"/>
    <w:rsid w:val="6107FCC7"/>
    <w:rsid w:val="613F11FF"/>
    <w:rsid w:val="61699A13"/>
    <w:rsid w:val="6186C9B4"/>
    <w:rsid w:val="61E85CE8"/>
    <w:rsid w:val="61EE6284"/>
    <w:rsid w:val="6226ADD8"/>
    <w:rsid w:val="6275346F"/>
    <w:rsid w:val="629B06F1"/>
    <w:rsid w:val="629D3010"/>
    <w:rsid w:val="62DCBE81"/>
    <w:rsid w:val="63056A74"/>
    <w:rsid w:val="63183F1A"/>
    <w:rsid w:val="633349CD"/>
    <w:rsid w:val="63AEA8D7"/>
    <w:rsid w:val="63B53B54"/>
    <w:rsid w:val="63C60421"/>
    <w:rsid w:val="63D1C72C"/>
    <w:rsid w:val="63D2AC83"/>
    <w:rsid w:val="640FFD04"/>
    <w:rsid w:val="64879885"/>
    <w:rsid w:val="64A1D01D"/>
    <w:rsid w:val="64ED894C"/>
    <w:rsid w:val="654DA7D6"/>
    <w:rsid w:val="655C2F39"/>
    <w:rsid w:val="6595FD7F"/>
    <w:rsid w:val="664782E2"/>
    <w:rsid w:val="6675395D"/>
    <w:rsid w:val="6679449F"/>
    <w:rsid w:val="66F78010"/>
    <w:rsid w:val="66FBDC73"/>
    <w:rsid w:val="67265F4F"/>
    <w:rsid w:val="672F9B5C"/>
    <w:rsid w:val="675EFA9B"/>
    <w:rsid w:val="6778EF1F"/>
    <w:rsid w:val="67C02A35"/>
    <w:rsid w:val="6813272A"/>
    <w:rsid w:val="6831997F"/>
    <w:rsid w:val="684D139B"/>
    <w:rsid w:val="6867B27C"/>
    <w:rsid w:val="68B92AA6"/>
    <w:rsid w:val="68E6BFB3"/>
    <w:rsid w:val="690A8F6B"/>
    <w:rsid w:val="693EA210"/>
    <w:rsid w:val="694E5A58"/>
    <w:rsid w:val="69612F43"/>
    <w:rsid w:val="6972CBF2"/>
    <w:rsid w:val="69890A69"/>
    <w:rsid w:val="69D035ED"/>
    <w:rsid w:val="69DE0F73"/>
    <w:rsid w:val="69E02D2D"/>
    <w:rsid w:val="69ECF3E5"/>
    <w:rsid w:val="6A0B0E73"/>
    <w:rsid w:val="6A0B3BFC"/>
    <w:rsid w:val="6A344861"/>
    <w:rsid w:val="6A42C3FB"/>
    <w:rsid w:val="6A5375B4"/>
    <w:rsid w:val="6A6A099C"/>
    <w:rsid w:val="6A7E7391"/>
    <w:rsid w:val="6AB53A7E"/>
    <w:rsid w:val="6AB6F1FC"/>
    <w:rsid w:val="6AC4959D"/>
    <w:rsid w:val="6AE09E34"/>
    <w:rsid w:val="6AEE4AD5"/>
    <w:rsid w:val="6B0AF0EC"/>
    <w:rsid w:val="6B3517D1"/>
    <w:rsid w:val="6B554730"/>
    <w:rsid w:val="6B8E0212"/>
    <w:rsid w:val="6B9ECE17"/>
    <w:rsid w:val="6BAEB657"/>
    <w:rsid w:val="6BB54830"/>
    <w:rsid w:val="6BCD39D7"/>
    <w:rsid w:val="6C13F15D"/>
    <w:rsid w:val="6C642071"/>
    <w:rsid w:val="6C7D529A"/>
    <w:rsid w:val="6C8ED198"/>
    <w:rsid w:val="6CDBDF71"/>
    <w:rsid w:val="6CE5452A"/>
    <w:rsid w:val="6CE65362"/>
    <w:rsid w:val="6D538140"/>
    <w:rsid w:val="6D705CC9"/>
    <w:rsid w:val="6E123A6E"/>
    <w:rsid w:val="6E355087"/>
    <w:rsid w:val="6E45E63C"/>
    <w:rsid w:val="6E46F545"/>
    <w:rsid w:val="6EBCD1B8"/>
    <w:rsid w:val="6EC888C9"/>
    <w:rsid w:val="6EE9AD6B"/>
    <w:rsid w:val="6EF3CB60"/>
    <w:rsid w:val="6F39D0A0"/>
    <w:rsid w:val="6F7BA481"/>
    <w:rsid w:val="6F989F10"/>
    <w:rsid w:val="6F9EFAC1"/>
    <w:rsid w:val="6FBF8F84"/>
    <w:rsid w:val="6FDD7CA1"/>
    <w:rsid w:val="700D5D8A"/>
    <w:rsid w:val="7015E099"/>
    <w:rsid w:val="7047A2E3"/>
    <w:rsid w:val="709CE7E4"/>
    <w:rsid w:val="709F9D89"/>
    <w:rsid w:val="70E5E7C2"/>
    <w:rsid w:val="71009BFD"/>
    <w:rsid w:val="7103DF5D"/>
    <w:rsid w:val="72592D7C"/>
    <w:rsid w:val="72704A7B"/>
    <w:rsid w:val="727A098C"/>
    <w:rsid w:val="729A8F44"/>
    <w:rsid w:val="730BAFCD"/>
    <w:rsid w:val="7365A234"/>
    <w:rsid w:val="7369797E"/>
    <w:rsid w:val="7378ACDC"/>
    <w:rsid w:val="739042DB"/>
    <w:rsid w:val="73AD6A5B"/>
    <w:rsid w:val="73FCEEED"/>
    <w:rsid w:val="740529E7"/>
    <w:rsid w:val="741D23DD"/>
    <w:rsid w:val="747191B3"/>
    <w:rsid w:val="7474D435"/>
    <w:rsid w:val="747949F0"/>
    <w:rsid w:val="74AB2862"/>
    <w:rsid w:val="74B45B1B"/>
    <w:rsid w:val="752889CE"/>
    <w:rsid w:val="75497990"/>
    <w:rsid w:val="75702BE8"/>
    <w:rsid w:val="757AEC3F"/>
    <w:rsid w:val="75992D5B"/>
    <w:rsid w:val="76747020"/>
    <w:rsid w:val="768999CD"/>
    <w:rsid w:val="76C47412"/>
    <w:rsid w:val="76C7E39D"/>
    <w:rsid w:val="7716BCA0"/>
    <w:rsid w:val="773CCAA9"/>
    <w:rsid w:val="7741EC4B"/>
    <w:rsid w:val="77624F18"/>
    <w:rsid w:val="77799074"/>
    <w:rsid w:val="777A5F8F"/>
    <w:rsid w:val="777DC230"/>
    <w:rsid w:val="78087680"/>
    <w:rsid w:val="78640C98"/>
    <w:rsid w:val="7876E1ED"/>
    <w:rsid w:val="78C7DFCE"/>
    <w:rsid w:val="7917B37B"/>
    <w:rsid w:val="793CD327"/>
    <w:rsid w:val="796BD8DD"/>
    <w:rsid w:val="796EF732"/>
    <w:rsid w:val="79DFBD48"/>
    <w:rsid w:val="7A2B3376"/>
    <w:rsid w:val="7A707052"/>
    <w:rsid w:val="7AA136A5"/>
    <w:rsid w:val="7AB383DC"/>
    <w:rsid w:val="7AB8070F"/>
    <w:rsid w:val="7ACA5220"/>
    <w:rsid w:val="7AD2166E"/>
    <w:rsid w:val="7B0E885C"/>
    <w:rsid w:val="7B2762AE"/>
    <w:rsid w:val="7B47CDE3"/>
    <w:rsid w:val="7B75C66C"/>
    <w:rsid w:val="7BB2B283"/>
    <w:rsid w:val="7BC92BE6"/>
    <w:rsid w:val="7BF275EF"/>
    <w:rsid w:val="7BF65128"/>
    <w:rsid w:val="7C075F4A"/>
    <w:rsid w:val="7CCE3873"/>
    <w:rsid w:val="7CD34B21"/>
    <w:rsid w:val="7CECB343"/>
    <w:rsid w:val="7D3BF96F"/>
    <w:rsid w:val="7D6BAF00"/>
    <w:rsid w:val="7D79021B"/>
    <w:rsid w:val="7D84D2E4"/>
    <w:rsid w:val="7D9341D2"/>
    <w:rsid w:val="7D9D5BBE"/>
    <w:rsid w:val="7DB08534"/>
    <w:rsid w:val="7DE1BD58"/>
    <w:rsid w:val="7E048B26"/>
    <w:rsid w:val="7E2CCAC3"/>
    <w:rsid w:val="7E628B46"/>
    <w:rsid w:val="7F0CA3B3"/>
    <w:rsid w:val="7F4A7765"/>
    <w:rsid w:val="7F5F3550"/>
    <w:rsid w:val="7F7437BB"/>
    <w:rsid w:val="7F7758F9"/>
    <w:rsid w:val="7F8054BD"/>
    <w:rsid w:val="7F86F4FF"/>
    <w:rsid w:val="7F87D95B"/>
    <w:rsid w:val="7F90389D"/>
    <w:rsid w:val="7F90C05A"/>
    <w:rsid w:val="7FA23BB7"/>
    <w:rsid w:val="7FBD1DAC"/>
    <w:rsid w:val="7FC6B875"/>
    <w:rsid w:val="7FE51ED1"/>
  </w:rsids>
  <m:mathPr>
    <m:mathFont m:val="Cambria Math"/>
    <m:brkBin m:val="before"/>
    <m:brkBinSub m:val="--"/>
    <m:smallFrac m:val="0"/>
    <m:dispDef/>
    <m:lMargin m:val="0"/>
    <m:rMargin m:val="0"/>
    <m:defJc m:val="centerGroup"/>
    <m:wrapIndent m:val="1440"/>
    <m:intLim m:val="subSup"/>
    <m:naryLim m:val="undOvr"/>
  </m:mathPr>
  <w:themeFontLang w:val="en-AU"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D4947A1"/>
  <w15:chartTrackingRefBased/>
  <w15:docId w15:val="{DE2B431B-A43D-405B-8256-D849BF4A98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C7A7F"/>
    <w:rPr>
      <w:rFonts w:ascii="Times New Roman" w:eastAsia="Times New Roman" w:hAnsi="Times New Roman"/>
      <w:sz w:val="24"/>
      <w:szCs w:val="24"/>
    </w:rPr>
  </w:style>
  <w:style w:type="paragraph" w:styleId="Heading1">
    <w:name w:val="heading 1"/>
    <w:basedOn w:val="Normal"/>
    <w:next w:val="Normal"/>
    <w:link w:val="Heading1Char"/>
    <w:uiPriority w:val="9"/>
    <w:qFormat/>
    <w:rsid w:val="008F7E20"/>
    <w:pPr>
      <w:keepNext/>
      <w:keepLines/>
      <w:spacing w:before="480"/>
      <w:outlineLvl w:val="0"/>
    </w:pPr>
    <w:rPr>
      <w:rFonts w:ascii="Calibri" w:hAnsi="Calibri" w:cs="Arial"/>
      <w:b/>
      <w:bCs/>
      <w:color w:val="365F91"/>
      <w:sz w:val="28"/>
    </w:rPr>
  </w:style>
  <w:style w:type="paragraph" w:styleId="Heading2">
    <w:name w:val="heading 2"/>
    <w:basedOn w:val="Normal"/>
    <w:next w:val="Normal"/>
    <w:link w:val="Heading2Char"/>
    <w:uiPriority w:val="9"/>
    <w:unhideWhenUsed/>
    <w:qFormat/>
    <w:rsid w:val="00ED3400"/>
    <w:pPr>
      <w:keepNext/>
      <w:spacing w:before="240" w:after="60"/>
      <w:outlineLvl w:val="1"/>
    </w:pPr>
    <w:rPr>
      <w:rFonts w:ascii="Calibri" w:hAnsi="Calibri"/>
      <w:b/>
      <w:bCs/>
      <w:i/>
      <w:iCs/>
    </w:rPr>
  </w:style>
  <w:style w:type="paragraph" w:styleId="Heading3">
    <w:name w:val="heading 3"/>
    <w:basedOn w:val="Normal"/>
    <w:next w:val="Normal"/>
    <w:link w:val="Heading3Char"/>
    <w:uiPriority w:val="9"/>
    <w:semiHidden/>
    <w:unhideWhenUsed/>
    <w:qFormat/>
    <w:rsid w:val="00843BC6"/>
    <w:pPr>
      <w:keepNext/>
      <w:spacing w:before="240" w:after="60"/>
      <w:outlineLvl w:val="2"/>
    </w:pPr>
    <w:rPr>
      <w:rFonts w:ascii="Calibri Light" w:hAnsi="Calibri Light"/>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313FDE"/>
    <w:pPr>
      <w:widowControl w:val="0"/>
      <w:tabs>
        <w:tab w:val="center" w:pos="4320"/>
        <w:tab w:val="right" w:pos="8640"/>
      </w:tabs>
    </w:pPr>
    <w:rPr>
      <w:szCs w:val="20"/>
      <w:lang w:val="en-GB" w:eastAsia="en-US"/>
    </w:rPr>
  </w:style>
  <w:style w:type="character" w:customStyle="1" w:styleId="HeaderChar">
    <w:name w:val="Header Char"/>
    <w:link w:val="Header"/>
    <w:rsid w:val="00313FDE"/>
    <w:rPr>
      <w:rFonts w:ascii="Times New Roman" w:eastAsia="Times New Roman" w:hAnsi="Times New Roman" w:cs="Times New Roman"/>
      <w:sz w:val="24"/>
      <w:szCs w:val="20"/>
      <w:lang w:val="en-GB"/>
    </w:rPr>
  </w:style>
  <w:style w:type="character" w:customStyle="1" w:styleId="Heading1Char">
    <w:name w:val="Heading 1 Char"/>
    <w:link w:val="Heading1"/>
    <w:uiPriority w:val="9"/>
    <w:rsid w:val="008F7E20"/>
    <w:rPr>
      <w:rFonts w:eastAsia="Times New Roman" w:cs="Arial"/>
      <w:b/>
      <w:bCs/>
      <w:color w:val="365F91"/>
      <w:sz w:val="28"/>
      <w:szCs w:val="24"/>
    </w:rPr>
  </w:style>
  <w:style w:type="table" w:styleId="MediumGrid1-Accent1">
    <w:name w:val="Medium Grid 1 Accent 1"/>
    <w:basedOn w:val="TableNormal"/>
    <w:uiPriority w:val="67"/>
    <w:rsid w:val="00E82A82"/>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MediumGrid1">
    <w:name w:val="Medium Grid 1"/>
    <w:basedOn w:val="TableNormal"/>
    <w:uiPriority w:val="67"/>
    <w:rsid w:val="00E82A82"/>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paragraph" w:styleId="NoSpacing">
    <w:name w:val="No Spacing"/>
    <w:link w:val="NoSpacingChar"/>
    <w:uiPriority w:val="1"/>
    <w:qFormat/>
    <w:rsid w:val="00EC4B65"/>
    <w:rPr>
      <w:rFonts w:eastAsia="Times New Roman"/>
      <w:sz w:val="22"/>
      <w:szCs w:val="22"/>
      <w:lang w:val="en-US" w:eastAsia="en-US"/>
    </w:rPr>
  </w:style>
  <w:style w:type="character" w:customStyle="1" w:styleId="NoSpacingChar">
    <w:name w:val="No Spacing Char"/>
    <w:link w:val="NoSpacing"/>
    <w:uiPriority w:val="1"/>
    <w:rsid w:val="00EC4B65"/>
    <w:rPr>
      <w:rFonts w:eastAsia="Times New Roman"/>
      <w:sz w:val="22"/>
      <w:szCs w:val="22"/>
      <w:lang w:val="en-US" w:eastAsia="en-US" w:bidi="ar-SA"/>
    </w:rPr>
  </w:style>
  <w:style w:type="paragraph" w:styleId="TOCHeading">
    <w:name w:val="TOC Heading"/>
    <w:basedOn w:val="Heading1"/>
    <w:next w:val="Normal"/>
    <w:uiPriority w:val="39"/>
    <w:unhideWhenUsed/>
    <w:qFormat/>
    <w:rsid w:val="00EC4B65"/>
    <w:pPr>
      <w:spacing w:line="276" w:lineRule="auto"/>
      <w:outlineLvl w:val="9"/>
    </w:pPr>
    <w:rPr>
      <w:rFonts w:ascii="Cambria" w:hAnsi="Cambria" w:cs="Times New Roman"/>
      <w:lang w:val="en-US" w:eastAsia="en-US"/>
    </w:rPr>
  </w:style>
  <w:style w:type="paragraph" w:styleId="TOC2">
    <w:name w:val="toc 2"/>
    <w:basedOn w:val="Normal"/>
    <w:next w:val="Normal"/>
    <w:autoRedefine/>
    <w:uiPriority w:val="39"/>
    <w:unhideWhenUsed/>
    <w:qFormat/>
    <w:rsid w:val="00A11C1D"/>
    <w:pPr>
      <w:tabs>
        <w:tab w:val="right" w:leader="dot" w:pos="9016"/>
      </w:tabs>
      <w:spacing w:after="100" w:line="276" w:lineRule="auto"/>
      <w:ind w:left="220"/>
    </w:pPr>
    <w:rPr>
      <w:rFonts w:ascii="Calibri" w:hAnsi="Calibri"/>
      <w:sz w:val="22"/>
      <w:szCs w:val="22"/>
      <w:lang w:val="en-US" w:eastAsia="en-US"/>
    </w:rPr>
  </w:style>
  <w:style w:type="paragraph" w:styleId="TOC1">
    <w:name w:val="toc 1"/>
    <w:basedOn w:val="Normal"/>
    <w:next w:val="Normal"/>
    <w:autoRedefine/>
    <w:uiPriority w:val="39"/>
    <w:unhideWhenUsed/>
    <w:qFormat/>
    <w:rsid w:val="000D0740"/>
    <w:pPr>
      <w:tabs>
        <w:tab w:val="right" w:leader="dot" w:pos="9026"/>
      </w:tabs>
      <w:spacing w:after="100" w:line="276" w:lineRule="auto"/>
    </w:pPr>
    <w:rPr>
      <w:rFonts w:ascii="Calibri" w:hAnsi="Calibri"/>
      <w:sz w:val="22"/>
      <w:szCs w:val="22"/>
      <w:lang w:val="en-US" w:eastAsia="en-US"/>
    </w:rPr>
  </w:style>
  <w:style w:type="paragraph" w:styleId="TOC3">
    <w:name w:val="toc 3"/>
    <w:basedOn w:val="Normal"/>
    <w:next w:val="Normal"/>
    <w:autoRedefine/>
    <w:uiPriority w:val="39"/>
    <w:unhideWhenUsed/>
    <w:qFormat/>
    <w:rsid w:val="00EC4B65"/>
    <w:pPr>
      <w:spacing w:after="100" w:line="276" w:lineRule="auto"/>
      <w:ind w:left="440"/>
    </w:pPr>
    <w:rPr>
      <w:rFonts w:ascii="Calibri" w:hAnsi="Calibri"/>
      <w:sz w:val="22"/>
      <w:szCs w:val="22"/>
      <w:lang w:val="en-US" w:eastAsia="en-US"/>
    </w:rPr>
  </w:style>
  <w:style w:type="character" w:styleId="Hyperlink">
    <w:name w:val="Hyperlink"/>
    <w:uiPriority w:val="99"/>
    <w:unhideWhenUsed/>
    <w:rsid w:val="00EC4B65"/>
    <w:rPr>
      <w:color w:val="0000FF"/>
      <w:u w:val="single"/>
    </w:rPr>
  </w:style>
  <w:style w:type="character" w:customStyle="1" w:styleId="Heading2Char">
    <w:name w:val="Heading 2 Char"/>
    <w:link w:val="Heading2"/>
    <w:uiPriority w:val="9"/>
    <w:rsid w:val="00ED3400"/>
    <w:rPr>
      <w:rFonts w:ascii="Calibri" w:eastAsia="Times New Roman" w:hAnsi="Calibri" w:cs="Times New Roman"/>
      <w:b/>
      <w:bCs/>
      <w:i/>
      <w:iCs/>
      <w:sz w:val="24"/>
      <w:szCs w:val="24"/>
    </w:rPr>
  </w:style>
  <w:style w:type="table" w:styleId="TableGrid">
    <w:name w:val="Table Grid"/>
    <w:basedOn w:val="TableNormal"/>
    <w:uiPriority w:val="39"/>
    <w:rsid w:val="00D80E7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Grid-Accent1">
    <w:name w:val="Light Grid Accent 1"/>
    <w:basedOn w:val="TableNormal"/>
    <w:uiPriority w:val="62"/>
    <w:rsid w:val="00D80E71"/>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DengXian" w:eastAsia="Times New Roman" w:hAnsi="DengXian"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DengXian" w:eastAsia="Times New Roman" w:hAnsi="DengXian"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styleId="Footer">
    <w:name w:val="footer"/>
    <w:basedOn w:val="Normal"/>
    <w:link w:val="FooterChar"/>
    <w:uiPriority w:val="99"/>
    <w:unhideWhenUsed/>
    <w:rsid w:val="00317281"/>
    <w:pPr>
      <w:tabs>
        <w:tab w:val="center" w:pos="4513"/>
        <w:tab w:val="right" w:pos="9026"/>
      </w:tabs>
    </w:pPr>
  </w:style>
  <w:style w:type="character" w:customStyle="1" w:styleId="FooterChar">
    <w:name w:val="Footer Char"/>
    <w:link w:val="Footer"/>
    <w:uiPriority w:val="99"/>
    <w:rsid w:val="00317281"/>
    <w:rPr>
      <w:rFonts w:ascii="Times New Roman" w:eastAsia="Times New Roman" w:hAnsi="Times New Roman"/>
      <w:sz w:val="24"/>
      <w:szCs w:val="24"/>
    </w:rPr>
  </w:style>
  <w:style w:type="paragraph" w:styleId="ListParagraph">
    <w:name w:val="List Paragraph"/>
    <w:basedOn w:val="Normal"/>
    <w:uiPriority w:val="34"/>
    <w:qFormat/>
    <w:rsid w:val="006B2ED6"/>
    <w:pPr>
      <w:ind w:left="720"/>
      <w:contextualSpacing/>
    </w:pPr>
  </w:style>
  <w:style w:type="paragraph" w:styleId="FootnoteText">
    <w:name w:val="footnote text"/>
    <w:basedOn w:val="Normal"/>
    <w:link w:val="FootnoteTextChar"/>
    <w:uiPriority w:val="99"/>
    <w:unhideWhenUsed/>
    <w:qFormat/>
    <w:rsid w:val="003E11AD"/>
    <w:rPr>
      <w:sz w:val="20"/>
      <w:szCs w:val="20"/>
    </w:rPr>
  </w:style>
  <w:style w:type="character" w:customStyle="1" w:styleId="FootnoteTextChar">
    <w:name w:val="Footnote Text Char"/>
    <w:link w:val="FootnoteText"/>
    <w:uiPriority w:val="99"/>
    <w:rsid w:val="003E11AD"/>
    <w:rPr>
      <w:rFonts w:ascii="Times New Roman" w:eastAsia="Times New Roman" w:hAnsi="Times New Roman"/>
    </w:rPr>
  </w:style>
  <w:style w:type="character" w:styleId="FootnoteReference">
    <w:name w:val="footnote reference"/>
    <w:unhideWhenUsed/>
    <w:rsid w:val="003E11AD"/>
    <w:rPr>
      <w:vertAlign w:val="superscript"/>
    </w:rPr>
  </w:style>
  <w:style w:type="paragraph" w:styleId="ListBullet">
    <w:name w:val="List Bullet"/>
    <w:basedOn w:val="Normal"/>
    <w:unhideWhenUsed/>
    <w:rsid w:val="00EF6A92"/>
    <w:pPr>
      <w:numPr>
        <w:numId w:val="5"/>
      </w:numPr>
      <w:spacing w:before="120" w:after="120"/>
    </w:pPr>
    <w:rPr>
      <w:rFonts w:eastAsia="Calibri"/>
    </w:rPr>
  </w:style>
  <w:style w:type="paragraph" w:styleId="BalloonText">
    <w:name w:val="Balloon Text"/>
    <w:basedOn w:val="Normal"/>
    <w:link w:val="BalloonTextChar"/>
    <w:uiPriority w:val="99"/>
    <w:semiHidden/>
    <w:unhideWhenUsed/>
    <w:rsid w:val="00110F97"/>
    <w:rPr>
      <w:rFonts w:ascii="Tahoma" w:hAnsi="Tahoma" w:cs="Tahoma"/>
      <w:sz w:val="16"/>
      <w:szCs w:val="16"/>
    </w:rPr>
  </w:style>
  <w:style w:type="character" w:customStyle="1" w:styleId="BalloonTextChar">
    <w:name w:val="Balloon Text Char"/>
    <w:link w:val="BalloonText"/>
    <w:uiPriority w:val="99"/>
    <w:semiHidden/>
    <w:rsid w:val="00110F97"/>
    <w:rPr>
      <w:rFonts w:ascii="Tahoma" w:eastAsia="Times New Roman" w:hAnsi="Tahoma" w:cs="Tahoma"/>
      <w:sz w:val="16"/>
      <w:szCs w:val="16"/>
    </w:rPr>
  </w:style>
  <w:style w:type="table" w:styleId="LightShading-Accent5">
    <w:name w:val="Light Shading Accent 5"/>
    <w:basedOn w:val="TableNormal"/>
    <w:uiPriority w:val="60"/>
    <w:rsid w:val="00110F97"/>
    <w:rPr>
      <w:color w:val="31849B"/>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LightList-Accent1">
    <w:name w:val="Light List Accent 1"/>
    <w:basedOn w:val="TableNormal"/>
    <w:uiPriority w:val="61"/>
    <w:rsid w:val="00110F97"/>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LightList-Accent5">
    <w:name w:val="Light List Accent 5"/>
    <w:basedOn w:val="TableNormal"/>
    <w:uiPriority w:val="61"/>
    <w:rsid w:val="00110F97"/>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styleId="LightShading-Accent1">
    <w:name w:val="Light Shading Accent 1"/>
    <w:basedOn w:val="TableNormal"/>
    <w:uiPriority w:val="60"/>
    <w:rsid w:val="00526D16"/>
    <w:rPr>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character" w:styleId="UnresolvedMention">
    <w:name w:val="Unresolved Mention"/>
    <w:uiPriority w:val="99"/>
    <w:semiHidden/>
    <w:unhideWhenUsed/>
    <w:rsid w:val="00643AFB"/>
    <w:rPr>
      <w:color w:val="605E5C"/>
      <w:shd w:val="clear" w:color="auto" w:fill="E1DFDD"/>
    </w:rPr>
  </w:style>
  <w:style w:type="paragraph" w:customStyle="1" w:styleId="instructions">
    <w:name w:val="instructions"/>
    <w:basedOn w:val="Normal"/>
    <w:link w:val="instructionsChar"/>
    <w:qFormat/>
    <w:rsid w:val="00676F33"/>
    <w:pPr>
      <w:spacing w:after="200"/>
    </w:pPr>
    <w:rPr>
      <w:rFonts w:ascii="Calibri" w:eastAsia="Calibri" w:hAnsi="Calibri"/>
      <w:color w:val="595959"/>
      <w:sz w:val="22"/>
      <w:szCs w:val="22"/>
      <w:lang w:eastAsia="en-US"/>
    </w:rPr>
  </w:style>
  <w:style w:type="character" w:customStyle="1" w:styleId="instructionsChar">
    <w:name w:val="instructions Char"/>
    <w:link w:val="instructions"/>
    <w:rsid w:val="00676F33"/>
    <w:rPr>
      <w:color w:val="595959"/>
      <w:sz w:val="22"/>
      <w:szCs w:val="22"/>
      <w:lang w:eastAsia="en-US"/>
    </w:rPr>
  </w:style>
  <w:style w:type="character" w:styleId="CommentReference">
    <w:name w:val="annotation reference"/>
    <w:uiPriority w:val="99"/>
    <w:semiHidden/>
    <w:unhideWhenUsed/>
    <w:rsid w:val="00B04C17"/>
    <w:rPr>
      <w:sz w:val="16"/>
      <w:szCs w:val="16"/>
    </w:rPr>
  </w:style>
  <w:style w:type="paragraph" w:styleId="CommentText">
    <w:name w:val="annotation text"/>
    <w:basedOn w:val="Normal"/>
    <w:link w:val="CommentTextChar"/>
    <w:uiPriority w:val="99"/>
    <w:unhideWhenUsed/>
    <w:rsid w:val="00B04C17"/>
    <w:pPr>
      <w:spacing w:after="160"/>
    </w:pPr>
    <w:rPr>
      <w:rFonts w:ascii="Calibri" w:eastAsia="Calibri" w:hAnsi="Calibri"/>
      <w:sz w:val="20"/>
      <w:szCs w:val="20"/>
      <w:lang w:eastAsia="en-US"/>
    </w:rPr>
  </w:style>
  <w:style w:type="character" w:customStyle="1" w:styleId="CommentTextChar">
    <w:name w:val="Comment Text Char"/>
    <w:link w:val="CommentText"/>
    <w:uiPriority w:val="99"/>
    <w:rsid w:val="00B04C17"/>
    <w:rPr>
      <w:lang w:eastAsia="en-US"/>
    </w:rPr>
  </w:style>
  <w:style w:type="paragraph" w:styleId="CommentSubject">
    <w:name w:val="annotation subject"/>
    <w:basedOn w:val="CommentText"/>
    <w:next w:val="CommentText"/>
    <w:link w:val="CommentSubjectChar"/>
    <w:uiPriority w:val="99"/>
    <w:semiHidden/>
    <w:unhideWhenUsed/>
    <w:rsid w:val="001C28E9"/>
    <w:pPr>
      <w:spacing w:after="0"/>
    </w:pPr>
    <w:rPr>
      <w:rFonts w:ascii="Times New Roman" w:eastAsia="Times New Roman" w:hAnsi="Times New Roman"/>
      <w:b/>
      <w:bCs/>
      <w:lang w:eastAsia="en-AU"/>
    </w:rPr>
  </w:style>
  <w:style w:type="character" w:customStyle="1" w:styleId="CommentSubjectChar">
    <w:name w:val="Comment Subject Char"/>
    <w:link w:val="CommentSubject"/>
    <w:uiPriority w:val="99"/>
    <w:semiHidden/>
    <w:rsid w:val="001C28E9"/>
    <w:rPr>
      <w:rFonts w:ascii="Times New Roman" w:eastAsia="Times New Roman" w:hAnsi="Times New Roman"/>
      <w:b/>
      <w:bCs/>
      <w:lang w:eastAsia="en-US"/>
    </w:rPr>
  </w:style>
  <w:style w:type="character" w:styleId="FollowedHyperlink">
    <w:name w:val="FollowedHyperlink"/>
    <w:uiPriority w:val="99"/>
    <w:semiHidden/>
    <w:unhideWhenUsed/>
    <w:rsid w:val="00B9241D"/>
    <w:rPr>
      <w:color w:val="954F72"/>
      <w:u w:val="single"/>
    </w:rPr>
  </w:style>
  <w:style w:type="paragraph" w:styleId="Revision">
    <w:name w:val="Revision"/>
    <w:hidden/>
    <w:uiPriority w:val="99"/>
    <w:semiHidden/>
    <w:rsid w:val="002C6C7B"/>
    <w:rPr>
      <w:rFonts w:ascii="Times New Roman" w:eastAsia="Times New Roman" w:hAnsi="Times New Roman"/>
      <w:sz w:val="24"/>
      <w:szCs w:val="24"/>
    </w:rPr>
  </w:style>
  <w:style w:type="paragraph" w:styleId="NormalWeb">
    <w:name w:val="Normal (Web)"/>
    <w:basedOn w:val="Normal"/>
    <w:uiPriority w:val="99"/>
    <w:semiHidden/>
    <w:unhideWhenUsed/>
    <w:rsid w:val="008A2A7B"/>
    <w:pPr>
      <w:spacing w:before="100" w:beforeAutospacing="1" w:after="100" w:afterAutospacing="1"/>
    </w:pPr>
  </w:style>
  <w:style w:type="paragraph" w:customStyle="1" w:styleId="Bullet1">
    <w:name w:val="Bullet 1"/>
    <w:basedOn w:val="Normal"/>
    <w:uiPriority w:val="3"/>
    <w:qFormat/>
    <w:rsid w:val="0029239E"/>
    <w:pPr>
      <w:numPr>
        <w:numId w:val="9"/>
      </w:numPr>
      <w:suppressAutoHyphens/>
      <w:spacing w:before="80" w:after="80" w:line="260" w:lineRule="atLeast"/>
    </w:pPr>
    <w:rPr>
      <w:rFonts w:ascii="Calibri" w:eastAsia="SimSun" w:hAnsi="Calibri"/>
      <w:color w:val="000000"/>
      <w:sz w:val="22"/>
      <w:szCs w:val="22"/>
      <w:lang w:eastAsia="zh-CN"/>
    </w:rPr>
  </w:style>
  <w:style w:type="paragraph" w:customStyle="1" w:styleId="Bullet2">
    <w:name w:val="Bullet 2"/>
    <w:basedOn w:val="Bullet1"/>
    <w:uiPriority w:val="3"/>
    <w:rsid w:val="0029239E"/>
    <w:pPr>
      <w:numPr>
        <w:ilvl w:val="1"/>
      </w:numPr>
    </w:pPr>
  </w:style>
  <w:style w:type="paragraph" w:customStyle="1" w:styleId="Bullet3">
    <w:name w:val="Bullet 3"/>
    <w:basedOn w:val="Bullet2"/>
    <w:uiPriority w:val="3"/>
    <w:rsid w:val="0029239E"/>
    <w:pPr>
      <w:numPr>
        <w:ilvl w:val="2"/>
      </w:numPr>
      <w:ind w:left="2880" w:hanging="360"/>
    </w:pPr>
  </w:style>
  <w:style w:type="numbering" w:customStyle="1" w:styleId="ICRCBulletPoints">
    <w:name w:val="ICRC Bullet Points"/>
    <w:uiPriority w:val="99"/>
    <w:rsid w:val="0029239E"/>
    <w:pPr>
      <w:numPr>
        <w:numId w:val="8"/>
      </w:numPr>
    </w:pPr>
  </w:style>
  <w:style w:type="paragraph" w:customStyle="1" w:styleId="Bullet">
    <w:name w:val="Bullet"/>
    <w:basedOn w:val="Normal"/>
    <w:link w:val="BulletChar"/>
    <w:uiPriority w:val="99"/>
    <w:qFormat/>
    <w:rsid w:val="0029239E"/>
    <w:pPr>
      <w:numPr>
        <w:numId w:val="10"/>
      </w:numPr>
      <w:spacing w:after="100" w:line="280" w:lineRule="atLeast"/>
    </w:pPr>
    <w:rPr>
      <w:rFonts w:eastAsia="Cambria"/>
      <w:sz w:val="22"/>
      <w:szCs w:val="20"/>
      <w:lang w:val="en-GB" w:eastAsia="en-US"/>
    </w:rPr>
  </w:style>
  <w:style w:type="character" w:customStyle="1" w:styleId="BulletChar">
    <w:name w:val="Bullet Char"/>
    <w:link w:val="Bullet"/>
    <w:uiPriority w:val="99"/>
    <w:locked/>
    <w:rsid w:val="0029239E"/>
    <w:rPr>
      <w:rFonts w:ascii="Times New Roman" w:eastAsia="Cambria" w:hAnsi="Times New Roman"/>
      <w:sz w:val="22"/>
      <w:lang w:val="en-GB" w:eastAsia="en-US"/>
    </w:rPr>
  </w:style>
  <w:style w:type="paragraph" w:styleId="Caption">
    <w:name w:val="caption"/>
    <w:basedOn w:val="Normal"/>
    <w:next w:val="Normal"/>
    <w:qFormat/>
    <w:rsid w:val="00CB06F8"/>
    <w:pPr>
      <w:keepNext/>
      <w:suppressAutoHyphens/>
      <w:spacing w:before="360" w:after="180" w:line="260" w:lineRule="atLeast"/>
    </w:pPr>
    <w:rPr>
      <w:rFonts w:ascii="Calibri" w:eastAsia="SimSun" w:hAnsi="Calibri"/>
      <w:b/>
      <w:iCs/>
      <w:color w:val="4E3B30"/>
      <w:sz w:val="22"/>
      <w:szCs w:val="18"/>
      <w:lang w:eastAsia="zh-CN"/>
    </w:rPr>
  </w:style>
  <w:style w:type="paragraph" w:customStyle="1" w:styleId="ah5sec">
    <w:name w:val="ah5sec"/>
    <w:basedOn w:val="Normal"/>
    <w:rsid w:val="003D0F36"/>
    <w:pPr>
      <w:spacing w:before="100" w:beforeAutospacing="1" w:after="100" w:afterAutospacing="1"/>
    </w:pPr>
  </w:style>
  <w:style w:type="character" w:customStyle="1" w:styleId="Heading3Char">
    <w:name w:val="Heading 3 Char"/>
    <w:link w:val="Heading3"/>
    <w:uiPriority w:val="9"/>
    <w:semiHidden/>
    <w:rsid w:val="00843BC6"/>
    <w:rPr>
      <w:rFonts w:ascii="Calibri Light" w:eastAsia="Times New Roman" w:hAnsi="Calibri Light" w:cs="Times New Roman"/>
      <w:b/>
      <w:bCs/>
      <w:sz w:val="26"/>
      <w:szCs w:val="26"/>
    </w:rPr>
  </w:style>
  <w:style w:type="character" w:customStyle="1" w:styleId="cf01">
    <w:name w:val="cf01"/>
    <w:basedOn w:val="DefaultParagraphFont"/>
    <w:rsid w:val="00F87240"/>
    <w:rPr>
      <w:rFonts w:ascii="Segoe UI" w:hAnsi="Segoe UI" w:cs="Segoe UI" w:hint="default"/>
      <w:sz w:val="18"/>
      <w:szCs w:val="18"/>
    </w:rPr>
  </w:style>
  <w:style w:type="character" w:styleId="Mention">
    <w:name w:val="Mention"/>
    <w:basedOn w:val="DefaultParagraphFont"/>
    <w:uiPriority w:val="99"/>
    <w:unhideWhenUsed/>
    <w:rsid w:val="00742830"/>
    <w:rPr>
      <w:color w:val="2B579A"/>
      <w:shd w:val="clear" w:color="auto" w:fill="E6E6E6"/>
    </w:rPr>
  </w:style>
  <w:style w:type="paragraph" w:styleId="BodyText">
    <w:name w:val="Body Text"/>
    <w:basedOn w:val="Normal"/>
    <w:link w:val="BodyTextChar"/>
    <w:qFormat/>
    <w:rsid w:val="00605E69"/>
    <w:rPr>
      <w:rFonts w:ascii="Arial" w:hAnsi="Arial"/>
      <w:sz w:val="20"/>
      <w:szCs w:val="20"/>
      <w:lang w:eastAsia="en-US"/>
    </w:rPr>
  </w:style>
  <w:style w:type="character" w:customStyle="1" w:styleId="BodyTextChar">
    <w:name w:val="Body Text Char"/>
    <w:basedOn w:val="DefaultParagraphFont"/>
    <w:link w:val="BodyText"/>
    <w:rsid w:val="00605E69"/>
    <w:rPr>
      <w:rFonts w:ascii="Arial" w:eastAsia="Times New Roman" w:hAnsi="Arial"/>
      <w:lang w:eastAsia="en-US"/>
    </w:rPr>
  </w:style>
  <w:style w:type="character" w:customStyle="1" w:styleId="normaltextrun">
    <w:name w:val="normaltextrun"/>
    <w:basedOn w:val="DefaultParagraphFont"/>
    <w:rsid w:val="001A3A18"/>
  </w:style>
  <w:style w:type="character" w:customStyle="1" w:styleId="eop">
    <w:name w:val="eop"/>
    <w:basedOn w:val="DefaultParagraphFont"/>
    <w:rsid w:val="001A3A1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68428">
      <w:bodyDiv w:val="1"/>
      <w:marLeft w:val="0"/>
      <w:marRight w:val="0"/>
      <w:marTop w:val="0"/>
      <w:marBottom w:val="0"/>
      <w:divBdr>
        <w:top w:val="none" w:sz="0" w:space="0" w:color="auto"/>
        <w:left w:val="none" w:sz="0" w:space="0" w:color="auto"/>
        <w:bottom w:val="none" w:sz="0" w:space="0" w:color="auto"/>
        <w:right w:val="none" w:sz="0" w:space="0" w:color="auto"/>
      </w:divBdr>
    </w:div>
    <w:div w:id="102961855">
      <w:bodyDiv w:val="1"/>
      <w:marLeft w:val="0"/>
      <w:marRight w:val="0"/>
      <w:marTop w:val="0"/>
      <w:marBottom w:val="0"/>
      <w:divBdr>
        <w:top w:val="none" w:sz="0" w:space="0" w:color="auto"/>
        <w:left w:val="none" w:sz="0" w:space="0" w:color="auto"/>
        <w:bottom w:val="none" w:sz="0" w:space="0" w:color="auto"/>
        <w:right w:val="none" w:sz="0" w:space="0" w:color="auto"/>
      </w:divBdr>
    </w:div>
    <w:div w:id="147984354">
      <w:bodyDiv w:val="1"/>
      <w:marLeft w:val="0"/>
      <w:marRight w:val="0"/>
      <w:marTop w:val="0"/>
      <w:marBottom w:val="0"/>
      <w:divBdr>
        <w:top w:val="none" w:sz="0" w:space="0" w:color="auto"/>
        <w:left w:val="none" w:sz="0" w:space="0" w:color="auto"/>
        <w:bottom w:val="none" w:sz="0" w:space="0" w:color="auto"/>
        <w:right w:val="none" w:sz="0" w:space="0" w:color="auto"/>
      </w:divBdr>
      <w:divsChild>
        <w:div w:id="920412897">
          <w:marLeft w:val="0"/>
          <w:marRight w:val="0"/>
          <w:marTop w:val="0"/>
          <w:marBottom w:val="0"/>
          <w:divBdr>
            <w:top w:val="none" w:sz="0" w:space="0" w:color="auto"/>
            <w:left w:val="none" w:sz="0" w:space="0" w:color="auto"/>
            <w:bottom w:val="none" w:sz="0" w:space="0" w:color="auto"/>
            <w:right w:val="none" w:sz="0" w:space="0" w:color="auto"/>
          </w:divBdr>
        </w:div>
      </w:divsChild>
    </w:div>
    <w:div w:id="294912598">
      <w:bodyDiv w:val="1"/>
      <w:marLeft w:val="0"/>
      <w:marRight w:val="0"/>
      <w:marTop w:val="0"/>
      <w:marBottom w:val="0"/>
      <w:divBdr>
        <w:top w:val="none" w:sz="0" w:space="0" w:color="auto"/>
        <w:left w:val="none" w:sz="0" w:space="0" w:color="auto"/>
        <w:bottom w:val="none" w:sz="0" w:space="0" w:color="auto"/>
        <w:right w:val="none" w:sz="0" w:space="0" w:color="auto"/>
      </w:divBdr>
    </w:div>
    <w:div w:id="347412396">
      <w:bodyDiv w:val="1"/>
      <w:marLeft w:val="0"/>
      <w:marRight w:val="0"/>
      <w:marTop w:val="0"/>
      <w:marBottom w:val="0"/>
      <w:divBdr>
        <w:top w:val="none" w:sz="0" w:space="0" w:color="auto"/>
        <w:left w:val="none" w:sz="0" w:space="0" w:color="auto"/>
        <w:bottom w:val="none" w:sz="0" w:space="0" w:color="auto"/>
        <w:right w:val="none" w:sz="0" w:space="0" w:color="auto"/>
      </w:divBdr>
    </w:div>
    <w:div w:id="385494933">
      <w:bodyDiv w:val="1"/>
      <w:marLeft w:val="0"/>
      <w:marRight w:val="0"/>
      <w:marTop w:val="0"/>
      <w:marBottom w:val="0"/>
      <w:divBdr>
        <w:top w:val="none" w:sz="0" w:space="0" w:color="auto"/>
        <w:left w:val="none" w:sz="0" w:space="0" w:color="auto"/>
        <w:bottom w:val="none" w:sz="0" w:space="0" w:color="auto"/>
        <w:right w:val="none" w:sz="0" w:space="0" w:color="auto"/>
      </w:divBdr>
    </w:div>
    <w:div w:id="485392098">
      <w:bodyDiv w:val="1"/>
      <w:marLeft w:val="0"/>
      <w:marRight w:val="0"/>
      <w:marTop w:val="0"/>
      <w:marBottom w:val="0"/>
      <w:divBdr>
        <w:top w:val="none" w:sz="0" w:space="0" w:color="auto"/>
        <w:left w:val="none" w:sz="0" w:space="0" w:color="auto"/>
        <w:bottom w:val="none" w:sz="0" w:space="0" w:color="auto"/>
        <w:right w:val="none" w:sz="0" w:space="0" w:color="auto"/>
      </w:divBdr>
    </w:div>
    <w:div w:id="632711372">
      <w:bodyDiv w:val="1"/>
      <w:marLeft w:val="0"/>
      <w:marRight w:val="0"/>
      <w:marTop w:val="0"/>
      <w:marBottom w:val="0"/>
      <w:divBdr>
        <w:top w:val="none" w:sz="0" w:space="0" w:color="auto"/>
        <w:left w:val="none" w:sz="0" w:space="0" w:color="auto"/>
        <w:bottom w:val="none" w:sz="0" w:space="0" w:color="auto"/>
        <w:right w:val="none" w:sz="0" w:space="0" w:color="auto"/>
      </w:divBdr>
    </w:div>
    <w:div w:id="645204268">
      <w:bodyDiv w:val="1"/>
      <w:marLeft w:val="0"/>
      <w:marRight w:val="0"/>
      <w:marTop w:val="0"/>
      <w:marBottom w:val="0"/>
      <w:divBdr>
        <w:top w:val="none" w:sz="0" w:space="0" w:color="auto"/>
        <w:left w:val="none" w:sz="0" w:space="0" w:color="auto"/>
        <w:bottom w:val="none" w:sz="0" w:space="0" w:color="auto"/>
        <w:right w:val="none" w:sz="0" w:space="0" w:color="auto"/>
      </w:divBdr>
    </w:div>
    <w:div w:id="666638147">
      <w:bodyDiv w:val="1"/>
      <w:marLeft w:val="0"/>
      <w:marRight w:val="0"/>
      <w:marTop w:val="0"/>
      <w:marBottom w:val="0"/>
      <w:divBdr>
        <w:top w:val="none" w:sz="0" w:space="0" w:color="auto"/>
        <w:left w:val="none" w:sz="0" w:space="0" w:color="auto"/>
        <w:bottom w:val="none" w:sz="0" w:space="0" w:color="auto"/>
        <w:right w:val="none" w:sz="0" w:space="0" w:color="auto"/>
      </w:divBdr>
    </w:div>
    <w:div w:id="758450266">
      <w:bodyDiv w:val="1"/>
      <w:marLeft w:val="0"/>
      <w:marRight w:val="0"/>
      <w:marTop w:val="0"/>
      <w:marBottom w:val="0"/>
      <w:divBdr>
        <w:top w:val="none" w:sz="0" w:space="0" w:color="auto"/>
        <w:left w:val="none" w:sz="0" w:space="0" w:color="auto"/>
        <w:bottom w:val="none" w:sz="0" w:space="0" w:color="auto"/>
        <w:right w:val="none" w:sz="0" w:space="0" w:color="auto"/>
      </w:divBdr>
    </w:div>
    <w:div w:id="792292134">
      <w:bodyDiv w:val="1"/>
      <w:marLeft w:val="0"/>
      <w:marRight w:val="0"/>
      <w:marTop w:val="0"/>
      <w:marBottom w:val="0"/>
      <w:divBdr>
        <w:top w:val="none" w:sz="0" w:space="0" w:color="auto"/>
        <w:left w:val="none" w:sz="0" w:space="0" w:color="auto"/>
        <w:bottom w:val="none" w:sz="0" w:space="0" w:color="auto"/>
        <w:right w:val="none" w:sz="0" w:space="0" w:color="auto"/>
      </w:divBdr>
    </w:div>
    <w:div w:id="997349224">
      <w:bodyDiv w:val="1"/>
      <w:marLeft w:val="0"/>
      <w:marRight w:val="0"/>
      <w:marTop w:val="0"/>
      <w:marBottom w:val="0"/>
      <w:divBdr>
        <w:top w:val="none" w:sz="0" w:space="0" w:color="auto"/>
        <w:left w:val="none" w:sz="0" w:space="0" w:color="auto"/>
        <w:bottom w:val="none" w:sz="0" w:space="0" w:color="auto"/>
        <w:right w:val="none" w:sz="0" w:space="0" w:color="auto"/>
      </w:divBdr>
      <w:divsChild>
        <w:div w:id="905070789">
          <w:marLeft w:val="0"/>
          <w:marRight w:val="0"/>
          <w:marTop w:val="0"/>
          <w:marBottom w:val="0"/>
          <w:divBdr>
            <w:top w:val="none" w:sz="0" w:space="0" w:color="auto"/>
            <w:left w:val="none" w:sz="0" w:space="0" w:color="auto"/>
            <w:bottom w:val="none" w:sz="0" w:space="0" w:color="auto"/>
            <w:right w:val="none" w:sz="0" w:space="0" w:color="auto"/>
          </w:divBdr>
        </w:div>
      </w:divsChild>
    </w:div>
    <w:div w:id="1047335425">
      <w:bodyDiv w:val="1"/>
      <w:marLeft w:val="0"/>
      <w:marRight w:val="0"/>
      <w:marTop w:val="0"/>
      <w:marBottom w:val="0"/>
      <w:divBdr>
        <w:top w:val="none" w:sz="0" w:space="0" w:color="auto"/>
        <w:left w:val="none" w:sz="0" w:space="0" w:color="auto"/>
        <w:bottom w:val="none" w:sz="0" w:space="0" w:color="auto"/>
        <w:right w:val="none" w:sz="0" w:space="0" w:color="auto"/>
      </w:divBdr>
    </w:div>
    <w:div w:id="1097553592">
      <w:bodyDiv w:val="1"/>
      <w:marLeft w:val="0"/>
      <w:marRight w:val="0"/>
      <w:marTop w:val="0"/>
      <w:marBottom w:val="0"/>
      <w:divBdr>
        <w:top w:val="none" w:sz="0" w:space="0" w:color="auto"/>
        <w:left w:val="none" w:sz="0" w:space="0" w:color="auto"/>
        <w:bottom w:val="none" w:sz="0" w:space="0" w:color="auto"/>
        <w:right w:val="none" w:sz="0" w:space="0" w:color="auto"/>
      </w:divBdr>
    </w:div>
    <w:div w:id="1142313721">
      <w:bodyDiv w:val="1"/>
      <w:marLeft w:val="0"/>
      <w:marRight w:val="0"/>
      <w:marTop w:val="0"/>
      <w:marBottom w:val="0"/>
      <w:divBdr>
        <w:top w:val="none" w:sz="0" w:space="0" w:color="auto"/>
        <w:left w:val="none" w:sz="0" w:space="0" w:color="auto"/>
        <w:bottom w:val="none" w:sz="0" w:space="0" w:color="auto"/>
        <w:right w:val="none" w:sz="0" w:space="0" w:color="auto"/>
      </w:divBdr>
    </w:div>
    <w:div w:id="1478261042">
      <w:bodyDiv w:val="1"/>
      <w:marLeft w:val="0"/>
      <w:marRight w:val="0"/>
      <w:marTop w:val="0"/>
      <w:marBottom w:val="0"/>
      <w:divBdr>
        <w:top w:val="none" w:sz="0" w:space="0" w:color="auto"/>
        <w:left w:val="none" w:sz="0" w:space="0" w:color="auto"/>
        <w:bottom w:val="none" w:sz="0" w:space="0" w:color="auto"/>
        <w:right w:val="none" w:sz="0" w:space="0" w:color="auto"/>
      </w:divBdr>
    </w:div>
    <w:div w:id="1773552346">
      <w:bodyDiv w:val="1"/>
      <w:marLeft w:val="0"/>
      <w:marRight w:val="0"/>
      <w:marTop w:val="0"/>
      <w:marBottom w:val="0"/>
      <w:divBdr>
        <w:top w:val="none" w:sz="0" w:space="0" w:color="auto"/>
        <w:left w:val="none" w:sz="0" w:space="0" w:color="auto"/>
        <w:bottom w:val="none" w:sz="0" w:space="0" w:color="auto"/>
        <w:right w:val="none" w:sz="0" w:space="0" w:color="auto"/>
      </w:divBdr>
    </w:div>
    <w:div w:id="1827668317">
      <w:bodyDiv w:val="1"/>
      <w:marLeft w:val="0"/>
      <w:marRight w:val="0"/>
      <w:marTop w:val="0"/>
      <w:marBottom w:val="0"/>
      <w:divBdr>
        <w:top w:val="none" w:sz="0" w:space="0" w:color="auto"/>
        <w:left w:val="none" w:sz="0" w:space="0" w:color="auto"/>
        <w:bottom w:val="none" w:sz="0" w:space="0" w:color="auto"/>
        <w:right w:val="none" w:sz="0" w:space="0" w:color="auto"/>
      </w:divBdr>
    </w:div>
    <w:div w:id="1896425873">
      <w:bodyDiv w:val="1"/>
      <w:marLeft w:val="0"/>
      <w:marRight w:val="0"/>
      <w:marTop w:val="0"/>
      <w:marBottom w:val="0"/>
      <w:divBdr>
        <w:top w:val="none" w:sz="0" w:space="0" w:color="auto"/>
        <w:left w:val="none" w:sz="0" w:space="0" w:color="auto"/>
        <w:bottom w:val="none" w:sz="0" w:space="0" w:color="auto"/>
        <w:right w:val="none" w:sz="0" w:space="0" w:color="auto"/>
      </w:divBdr>
    </w:div>
    <w:div w:id="1923223167">
      <w:bodyDiv w:val="1"/>
      <w:marLeft w:val="0"/>
      <w:marRight w:val="0"/>
      <w:marTop w:val="0"/>
      <w:marBottom w:val="0"/>
      <w:divBdr>
        <w:top w:val="none" w:sz="0" w:space="0" w:color="auto"/>
        <w:left w:val="none" w:sz="0" w:space="0" w:color="auto"/>
        <w:bottom w:val="none" w:sz="0" w:space="0" w:color="auto"/>
        <w:right w:val="none" w:sz="0" w:space="0" w:color="auto"/>
      </w:divBdr>
    </w:div>
    <w:div w:id="1934435530">
      <w:bodyDiv w:val="1"/>
      <w:marLeft w:val="0"/>
      <w:marRight w:val="0"/>
      <w:marTop w:val="0"/>
      <w:marBottom w:val="0"/>
      <w:divBdr>
        <w:top w:val="none" w:sz="0" w:space="0" w:color="auto"/>
        <w:left w:val="none" w:sz="0" w:space="0" w:color="auto"/>
        <w:bottom w:val="none" w:sz="0" w:space="0" w:color="auto"/>
        <w:right w:val="none" w:sz="0" w:space="0" w:color="auto"/>
      </w:divBdr>
    </w:div>
    <w:div w:id="2132434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hyperlink" Target="https://www.qld.gov.au/law/laws-regulated-industries-and-accountability/queensland-laws-and-regulations/regulated-industries-and-licensing/fair-trading-enforcement/compliance-program" TargetMode="External"/><Relationship Id="rId3" Type="http://schemas.openxmlformats.org/officeDocument/2006/relationships/styles" Target="styles.xml"/><Relationship Id="rId21" Type="http://schemas.microsoft.com/office/2019/05/relationships/documenttasks" Target="documenttasks/documenttasks1.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image" Target="media/image2.jpeg"/><Relationship Id="rId2" Type="http://schemas.openxmlformats.org/officeDocument/2006/relationships/numbering" Target="numbering.xml"/><Relationship Id="rId16" Type="http://schemas.openxmlformats.org/officeDocument/2006/relationships/hyperlink" Target="https://www.yoursayconversation.act.gov.au/modernising-utility-and-energy-retail-laws"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mailto:utilitylawmodernisation@act.gov.au" TargetMode="External"/><Relationship Id="rId10" Type="http://schemas.openxmlformats.org/officeDocument/2006/relationships/header" Target="header2.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documenttasks/documenttasks1.xml><?xml version="1.0" encoding="utf-8"?>
<t:Tasks xmlns:t="http://schemas.microsoft.com/office/tasks/2019/documenttasks" xmlns:oel="http://schemas.microsoft.com/office/2019/extlst">
  <t:Task id="{0F8AF2AE-EF9E-4B1B-A69D-C4A8F4050CA6}">
    <t:Anchor>
      <t:Comment id="548881043"/>
    </t:Anchor>
    <t:History>
      <t:Event id="{353A6E8B-3543-4BC7-9BA7-CFFEE1DD7815}" time="2023-07-18T23:33:29.636Z">
        <t:Attribution userId="S::ian.lawrence@act.gov.au::e118614a-42b6-432f-a2d2-8149b9e2faeb" userProvider="AD" userName="Lawrence, Ian"/>
        <t:Anchor>
          <t:Comment id="548881043"/>
        </t:Anchor>
        <t:Create/>
      </t:Event>
      <t:Event id="{14A8E750-98BC-4D8F-8161-D90194D03C46}" time="2023-07-18T23:33:29.636Z">
        <t:Attribution userId="S::ian.lawrence@act.gov.au::e118614a-42b6-432f-a2d2-8149b9e2faeb" userProvider="AD" userName="Lawrence, Ian"/>
        <t:Anchor>
          <t:Comment id="548881043"/>
        </t:Anchor>
        <t:Assign userId="S::Hock.Quek@act.gov.au::dd9a767e-c80f-41ba-bbef-dd13b21f098c" userProvider="AD" userName="Quek, Hock"/>
      </t:Event>
      <t:Event id="{89AC1216-BFCA-408E-B8AB-C1C148CA94A3}" time="2023-07-18T23:33:29.636Z">
        <t:Attribution userId="S::ian.lawrence@act.gov.au::e118614a-42b6-432f-a2d2-8149b9e2faeb" userProvider="AD" userName="Lawrence, Ian"/>
        <t:Anchor>
          <t:Comment id="548881043"/>
        </t:Anchor>
        <t:SetTitle title="@Quek, Hock - can you please edit this table so it runs without gaps?"/>
      </t:Event>
    </t:History>
  </t:Task>
  <t:Task id="{E4443A83-64D0-484B-9728-ADA3532E89EE}">
    <t:Anchor>
      <t:Comment id="677481303"/>
    </t:Anchor>
    <t:History>
      <t:Event id="{D1C04ADF-1880-448B-8057-2F5CE53A71D0}" time="2023-07-18T23:46:36.884Z">
        <t:Attribution userId="S::ian.lawrence@act.gov.au::e118614a-42b6-432f-a2d2-8149b9e2faeb" userProvider="AD" userName="Lawrence, Ian"/>
        <t:Anchor>
          <t:Comment id="1986902043"/>
        </t:Anchor>
        <t:Create/>
      </t:Event>
      <t:Event id="{96718067-D521-4AB3-B71B-F3D528F45450}" time="2023-07-18T23:46:36.884Z">
        <t:Attribution userId="S::ian.lawrence@act.gov.au::e118614a-42b6-432f-a2d2-8149b9e2faeb" userProvider="AD" userName="Lawrence, Ian"/>
        <t:Anchor>
          <t:Comment id="1986902043"/>
        </t:Anchor>
        <t:Assign userId="S::Hock.Quek@act.gov.au::dd9a767e-c80f-41ba-bbef-dd13b21f098c" userProvider="AD" userName="Quek, Hock"/>
      </t:Event>
      <t:Event id="{BFFDFDBD-0329-4985-8EE7-5855F001BE24}" time="2023-07-18T23:46:36.884Z">
        <t:Attribution userId="S::ian.lawrence@act.gov.au::e118614a-42b6-432f-a2d2-8149b9e2faeb" userProvider="AD" userName="Lawrence, Ian"/>
        <t:Anchor>
          <t:Comment id="1986902043"/>
        </t:Anchor>
        <t:SetTitle title="@Quek, Hock, can we lift something from the ICRC paper here?"/>
      </t:Event>
      <t:Event id="{09DF7C93-985C-4AE7-A45C-333BB6192C8D}" time="2023-07-19T11:20:42.826Z">
        <t:Attribution userId="S::ian.lawrence@act.gov.au::e118614a-42b6-432f-a2d2-8149b9e2faeb" userProvider="AD" userName="Lawrence, Ian"/>
        <t:Progress percentComplete="100"/>
      </t:Event>
    </t:History>
  </t:Task>
</t:Task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7849CCE-307A-441E-AE6E-5430D13D18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17</Pages>
  <Words>4839</Words>
  <Characters>27586</Characters>
  <Application>Microsoft Office Word</Application>
  <DocSecurity>4</DocSecurity>
  <Lines>229</Lines>
  <Paragraphs>64</Paragraphs>
  <ScaleCrop>false</ScaleCrop>
  <HeadingPairs>
    <vt:vector size="2" baseType="variant">
      <vt:variant>
        <vt:lpstr>Title</vt:lpstr>
      </vt:variant>
      <vt:variant>
        <vt:i4>1</vt:i4>
      </vt:variant>
    </vt:vector>
  </HeadingPairs>
  <TitlesOfParts>
    <vt:vector size="1" baseType="lpstr">
      <vt:lpstr>Investigation of ACT Energy Industry Levy</vt:lpstr>
    </vt:vector>
  </TitlesOfParts>
  <Company>ACT Government</Company>
  <LinksUpToDate>false</LinksUpToDate>
  <CharactersWithSpaces>32361</CharactersWithSpaces>
  <SharedDoc>false</SharedDoc>
  <HLinks>
    <vt:vector size="120" baseType="variant">
      <vt:variant>
        <vt:i4>2359413</vt:i4>
      </vt:variant>
      <vt:variant>
        <vt:i4>114</vt:i4>
      </vt:variant>
      <vt:variant>
        <vt:i4>0</vt:i4>
      </vt:variant>
      <vt:variant>
        <vt:i4>5</vt:i4>
      </vt:variant>
      <vt:variant>
        <vt:lpwstr>https://www.qld.gov.au/law/laws-regulated-industries-and-accountability/queensland-laws-and-regulations/regulated-industries-and-licensing/fair-trading-enforcement/compliance-program</vt:lpwstr>
      </vt:variant>
      <vt:variant>
        <vt:lpwstr/>
      </vt:variant>
      <vt:variant>
        <vt:i4>1966205</vt:i4>
      </vt:variant>
      <vt:variant>
        <vt:i4>108</vt:i4>
      </vt:variant>
      <vt:variant>
        <vt:i4>0</vt:i4>
      </vt:variant>
      <vt:variant>
        <vt:i4>5</vt:i4>
      </vt:variant>
      <vt:variant>
        <vt:lpwstr>mailto:utilitylawmodernisation@act.gov.au</vt:lpwstr>
      </vt:variant>
      <vt:variant>
        <vt:lpwstr/>
      </vt:variant>
      <vt:variant>
        <vt:i4>1966205</vt:i4>
      </vt:variant>
      <vt:variant>
        <vt:i4>105</vt:i4>
      </vt:variant>
      <vt:variant>
        <vt:i4>0</vt:i4>
      </vt:variant>
      <vt:variant>
        <vt:i4>5</vt:i4>
      </vt:variant>
      <vt:variant>
        <vt:lpwstr>mailto:utilitylawmodernisation@act.gov.au</vt:lpwstr>
      </vt:variant>
      <vt:variant>
        <vt:lpwstr/>
      </vt:variant>
      <vt:variant>
        <vt:i4>1507381</vt:i4>
      </vt:variant>
      <vt:variant>
        <vt:i4>98</vt:i4>
      </vt:variant>
      <vt:variant>
        <vt:i4>0</vt:i4>
      </vt:variant>
      <vt:variant>
        <vt:i4>5</vt:i4>
      </vt:variant>
      <vt:variant>
        <vt:lpwstr/>
      </vt:variant>
      <vt:variant>
        <vt:lpwstr>_Toc142571104</vt:lpwstr>
      </vt:variant>
      <vt:variant>
        <vt:i4>1507381</vt:i4>
      </vt:variant>
      <vt:variant>
        <vt:i4>92</vt:i4>
      </vt:variant>
      <vt:variant>
        <vt:i4>0</vt:i4>
      </vt:variant>
      <vt:variant>
        <vt:i4>5</vt:i4>
      </vt:variant>
      <vt:variant>
        <vt:lpwstr/>
      </vt:variant>
      <vt:variant>
        <vt:lpwstr>_Toc142571103</vt:lpwstr>
      </vt:variant>
      <vt:variant>
        <vt:i4>1507381</vt:i4>
      </vt:variant>
      <vt:variant>
        <vt:i4>86</vt:i4>
      </vt:variant>
      <vt:variant>
        <vt:i4>0</vt:i4>
      </vt:variant>
      <vt:variant>
        <vt:i4>5</vt:i4>
      </vt:variant>
      <vt:variant>
        <vt:lpwstr/>
      </vt:variant>
      <vt:variant>
        <vt:lpwstr>_Toc142571102</vt:lpwstr>
      </vt:variant>
      <vt:variant>
        <vt:i4>1507381</vt:i4>
      </vt:variant>
      <vt:variant>
        <vt:i4>80</vt:i4>
      </vt:variant>
      <vt:variant>
        <vt:i4>0</vt:i4>
      </vt:variant>
      <vt:variant>
        <vt:i4>5</vt:i4>
      </vt:variant>
      <vt:variant>
        <vt:lpwstr/>
      </vt:variant>
      <vt:variant>
        <vt:lpwstr>_Toc142571101</vt:lpwstr>
      </vt:variant>
      <vt:variant>
        <vt:i4>1507381</vt:i4>
      </vt:variant>
      <vt:variant>
        <vt:i4>74</vt:i4>
      </vt:variant>
      <vt:variant>
        <vt:i4>0</vt:i4>
      </vt:variant>
      <vt:variant>
        <vt:i4>5</vt:i4>
      </vt:variant>
      <vt:variant>
        <vt:lpwstr/>
      </vt:variant>
      <vt:variant>
        <vt:lpwstr>_Toc142571100</vt:lpwstr>
      </vt:variant>
      <vt:variant>
        <vt:i4>1966132</vt:i4>
      </vt:variant>
      <vt:variant>
        <vt:i4>68</vt:i4>
      </vt:variant>
      <vt:variant>
        <vt:i4>0</vt:i4>
      </vt:variant>
      <vt:variant>
        <vt:i4>5</vt:i4>
      </vt:variant>
      <vt:variant>
        <vt:lpwstr/>
      </vt:variant>
      <vt:variant>
        <vt:lpwstr>_Toc142571099</vt:lpwstr>
      </vt:variant>
      <vt:variant>
        <vt:i4>1966132</vt:i4>
      </vt:variant>
      <vt:variant>
        <vt:i4>62</vt:i4>
      </vt:variant>
      <vt:variant>
        <vt:i4>0</vt:i4>
      </vt:variant>
      <vt:variant>
        <vt:i4>5</vt:i4>
      </vt:variant>
      <vt:variant>
        <vt:lpwstr/>
      </vt:variant>
      <vt:variant>
        <vt:lpwstr>_Toc142571098</vt:lpwstr>
      </vt:variant>
      <vt:variant>
        <vt:i4>1966132</vt:i4>
      </vt:variant>
      <vt:variant>
        <vt:i4>56</vt:i4>
      </vt:variant>
      <vt:variant>
        <vt:i4>0</vt:i4>
      </vt:variant>
      <vt:variant>
        <vt:i4>5</vt:i4>
      </vt:variant>
      <vt:variant>
        <vt:lpwstr/>
      </vt:variant>
      <vt:variant>
        <vt:lpwstr>_Toc142571097</vt:lpwstr>
      </vt:variant>
      <vt:variant>
        <vt:i4>1966132</vt:i4>
      </vt:variant>
      <vt:variant>
        <vt:i4>50</vt:i4>
      </vt:variant>
      <vt:variant>
        <vt:i4>0</vt:i4>
      </vt:variant>
      <vt:variant>
        <vt:i4>5</vt:i4>
      </vt:variant>
      <vt:variant>
        <vt:lpwstr/>
      </vt:variant>
      <vt:variant>
        <vt:lpwstr>_Toc142571096</vt:lpwstr>
      </vt:variant>
      <vt:variant>
        <vt:i4>1966132</vt:i4>
      </vt:variant>
      <vt:variant>
        <vt:i4>44</vt:i4>
      </vt:variant>
      <vt:variant>
        <vt:i4>0</vt:i4>
      </vt:variant>
      <vt:variant>
        <vt:i4>5</vt:i4>
      </vt:variant>
      <vt:variant>
        <vt:lpwstr/>
      </vt:variant>
      <vt:variant>
        <vt:lpwstr>_Toc142571095</vt:lpwstr>
      </vt:variant>
      <vt:variant>
        <vt:i4>1966132</vt:i4>
      </vt:variant>
      <vt:variant>
        <vt:i4>38</vt:i4>
      </vt:variant>
      <vt:variant>
        <vt:i4>0</vt:i4>
      </vt:variant>
      <vt:variant>
        <vt:i4>5</vt:i4>
      </vt:variant>
      <vt:variant>
        <vt:lpwstr/>
      </vt:variant>
      <vt:variant>
        <vt:lpwstr>_Toc142571094</vt:lpwstr>
      </vt:variant>
      <vt:variant>
        <vt:i4>1966132</vt:i4>
      </vt:variant>
      <vt:variant>
        <vt:i4>32</vt:i4>
      </vt:variant>
      <vt:variant>
        <vt:i4>0</vt:i4>
      </vt:variant>
      <vt:variant>
        <vt:i4>5</vt:i4>
      </vt:variant>
      <vt:variant>
        <vt:lpwstr/>
      </vt:variant>
      <vt:variant>
        <vt:lpwstr>_Toc142571093</vt:lpwstr>
      </vt:variant>
      <vt:variant>
        <vt:i4>1966132</vt:i4>
      </vt:variant>
      <vt:variant>
        <vt:i4>26</vt:i4>
      </vt:variant>
      <vt:variant>
        <vt:i4>0</vt:i4>
      </vt:variant>
      <vt:variant>
        <vt:i4>5</vt:i4>
      </vt:variant>
      <vt:variant>
        <vt:lpwstr/>
      </vt:variant>
      <vt:variant>
        <vt:lpwstr>_Toc142571092</vt:lpwstr>
      </vt:variant>
      <vt:variant>
        <vt:i4>1966132</vt:i4>
      </vt:variant>
      <vt:variant>
        <vt:i4>20</vt:i4>
      </vt:variant>
      <vt:variant>
        <vt:i4>0</vt:i4>
      </vt:variant>
      <vt:variant>
        <vt:i4>5</vt:i4>
      </vt:variant>
      <vt:variant>
        <vt:lpwstr/>
      </vt:variant>
      <vt:variant>
        <vt:lpwstr>_Toc142571091</vt:lpwstr>
      </vt:variant>
      <vt:variant>
        <vt:i4>1966132</vt:i4>
      </vt:variant>
      <vt:variant>
        <vt:i4>14</vt:i4>
      </vt:variant>
      <vt:variant>
        <vt:i4>0</vt:i4>
      </vt:variant>
      <vt:variant>
        <vt:i4>5</vt:i4>
      </vt:variant>
      <vt:variant>
        <vt:lpwstr/>
      </vt:variant>
      <vt:variant>
        <vt:lpwstr>_Toc142571090</vt:lpwstr>
      </vt:variant>
      <vt:variant>
        <vt:i4>2031668</vt:i4>
      </vt:variant>
      <vt:variant>
        <vt:i4>8</vt:i4>
      </vt:variant>
      <vt:variant>
        <vt:i4>0</vt:i4>
      </vt:variant>
      <vt:variant>
        <vt:i4>5</vt:i4>
      </vt:variant>
      <vt:variant>
        <vt:lpwstr/>
      </vt:variant>
      <vt:variant>
        <vt:lpwstr>_Toc142571089</vt:lpwstr>
      </vt:variant>
      <vt:variant>
        <vt:i4>2031668</vt:i4>
      </vt:variant>
      <vt:variant>
        <vt:i4>2</vt:i4>
      </vt:variant>
      <vt:variant>
        <vt:i4>0</vt:i4>
      </vt:variant>
      <vt:variant>
        <vt:i4>5</vt:i4>
      </vt:variant>
      <vt:variant>
        <vt:lpwstr/>
      </vt:variant>
      <vt:variant>
        <vt:lpwstr>_Toc142571088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Consultation Paper - Modernising ACT utility laws</dc:title>
  <dc:subject>Discussion Paper</dc:subject>
  <dc:creator>Chief Minister, Treasury and Economic Development Directorate</dc:creator>
  <cp:keywords/>
  <cp:lastModifiedBy>Lawrence, Ian</cp:lastModifiedBy>
  <cp:revision>2</cp:revision>
  <cp:lastPrinted>2023-11-20T06:20:00Z</cp:lastPrinted>
  <dcterms:created xsi:type="dcterms:W3CDTF">2023-12-04T03:48:00Z</dcterms:created>
  <dcterms:modified xsi:type="dcterms:W3CDTF">2023-12-04T03:48:00Z</dcterms:modified>
</cp:coreProperties>
</file>